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1919"/>
        <w:gridCol w:w="7431"/>
      </w:tblGrid>
      <w:tr w:rsidR="00BA19C8" w:rsidTr="002F7880">
        <w:tc>
          <w:tcPr>
            <w:tcW w:w="9350" w:type="dxa"/>
            <w:gridSpan w:val="2"/>
            <w:shd w:val="clear" w:color="auto" w:fill="2E74B5" w:themeFill="accent1" w:themeFillShade="BF"/>
          </w:tcPr>
          <w:p w:rsidR="00BA19C8" w:rsidRPr="002F7880" w:rsidRDefault="00BA19C8" w:rsidP="003F46DE">
            <w:pPr>
              <w:rPr>
                <w:color w:val="FFFFFF" w:themeColor="background1"/>
              </w:rPr>
            </w:pPr>
            <w:bookmarkStart w:id="0" w:name="_GoBack"/>
            <w:bookmarkEnd w:id="0"/>
            <w:r w:rsidRPr="002F7880">
              <w:rPr>
                <w:color w:val="FFFFFF" w:themeColor="background1"/>
              </w:rPr>
              <w:t>Recommendation 5: Develop and enhance programs in higher education for care and education professionals working with children from birth to age 8.</w:t>
            </w:r>
          </w:p>
        </w:tc>
      </w:tr>
      <w:tr w:rsidR="00BA19C8" w:rsidTr="003F46DE">
        <w:tc>
          <w:tcPr>
            <w:tcW w:w="9350" w:type="dxa"/>
            <w:gridSpan w:val="2"/>
          </w:tcPr>
          <w:p w:rsidR="00BA19C8" w:rsidRPr="00B953D9" w:rsidRDefault="00BA19C8" w:rsidP="003F46DE">
            <w:r w:rsidRPr="00B953D9">
              <w:t>5.1: State Education requires 12 credits of specified early childhood coursework to approve a b-2 extension</w:t>
            </w:r>
            <w:r w:rsidR="00BD7E3C">
              <w:t>.</w:t>
            </w:r>
          </w:p>
        </w:tc>
      </w:tr>
      <w:tr w:rsidR="00BA19C8" w:rsidTr="003F46DE">
        <w:tc>
          <w:tcPr>
            <w:tcW w:w="9350" w:type="dxa"/>
            <w:gridSpan w:val="2"/>
          </w:tcPr>
          <w:p w:rsidR="00BA19C8" w:rsidRPr="00B953D9" w:rsidRDefault="00BA19C8" w:rsidP="003F46DE">
            <w:r w:rsidRPr="00B953D9">
              <w:t>5.2: Scholarship Financing; modify existing scholarships to include part time courses of study for current workforce and work with administration to amend Excelsior Scholarship criteria to betters support low-wage workers or develop a new scholarship program specifically targeted at low- wage workers, who are purs</w:t>
            </w:r>
            <w:r w:rsidR="002A26F0">
              <w:t>u</w:t>
            </w:r>
            <w:r w:rsidRPr="00B953D9">
              <w:t>ing an ECE degree from an accredited institution of higher education, supporting both full time and part time students.</w:t>
            </w:r>
          </w:p>
        </w:tc>
      </w:tr>
      <w:tr w:rsidR="00BA19C8" w:rsidTr="003F46DE">
        <w:trPr>
          <w:trHeight w:val="620"/>
        </w:trPr>
        <w:tc>
          <w:tcPr>
            <w:tcW w:w="9350" w:type="dxa"/>
            <w:gridSpan w:val="2"/>
          </w:tcPr>
          <w:p w:rsidR="00BA19C8" w:rsidRPr="00B953D9" w:rsidRDefault="00BA19C8" w:rsidP="003F46DE">
            <w:r w:rsidRPr="00B953D9">
              <w:t>5.3:  Educational Incentive Program should prioritize support for degree, credential and certificate completion.</w:t>
            </w:r>
          </w:p>
        </w:tc>
      </w:tr>
      <w:tr w:rsidR="00BA19C8" w:rsidTr="003F46DE">
        <w:tc>
          <w:tcPr>
            <w:tcW w:w="9350" w:type="dxa"/>
            <w:gridSpan w:val="2"/>
          </w:tcPr>
          <w:p w:rsidR="00BA19C8" w:rsidRPr="00B953D9" w:rsidRDefault="00BA19C8" w:rsidP="003F46DE">
            <w:r w:rsidRPr="00B953D9">
              <w:t xml:space="preserve">5.4:  Convene work team of the ECAC E.L. Focus Group to enhance programs in higher education.  </w:t>
            </w:r>
          </w:p>
        </w:tc>
      </w:tr>
      <w:tr w:rsidR="00BA19C8" w:rsidTr="003F46DE">
        <w:tc>
          <w:tcPr>
            <w:tcW w:w="1919" w:type="dxa"/>
          </w:tcPr>
          <w:p w:rsidR="00BA19C8" w:rsidRPr="00BA19C8" w:rsidRDefault="00BA19C8" w:rsidP="003F46DE">
            <w:pPr>
              <w:rPr>
                <w:b/>
              </w:rPr>
            </w:pPr>
            <w:r w:rsidRPr="00BA19C8">
              <w:rPr>
                <w:b/>
              </w:rPr>
              <w:t>ECAC Strategic Plan Alignment</w:t>
            </w:r>
          </w:p>
        </w:tc>
        <w:tc>
          <w:tcPr>
            <w:tcW w:w="7431" w:type="dxa"/>
          </w:tcPr>
          <w:p w:rsidR="00BA19C8" w:rsidRPr="00BA19C8" w:rsidRDefault="00BA19C8" w:rsidP="003F46DE">
            <w:pPr>
              <w:rPr>
                <w:b/>
              </w:rPr>
            </w:pPr>
            <w:r w:rsidRPr="00BA19C8">
              <w:rPr>
                <w:b/>
              </w:rPr>
              <w:t>Focus Area: Early Learning</w:t>
            </w:r>
          </w:p>
          <w:p w:rsidR="00BA19C8" w:rsidRDefault="00BA19C8" w:rsidP="003F46DE">
            <w:r w:rsidRPr="00BA19C8">
              <w:rPr>
                <w:b/>
              </w:rPr>
              <w:t xml:space="preserve">Objective 2: </w:t>
            </w:r>
            <w:r>
              <w:t>Increase the knowledge and competencies of the early care and education workforce.</w:t>
            </w:r>
          </w:p>
          <w:p w:rsidR="00BA19C8" w:rsidRDefault="00BA19C8" w:rsidP="003F46DE">
            <w:r w:rsidRPr="00C03EC7">
              <w:rPr>
                <w:b/>
              </w:rPr>
              <w:t xml:space="preserve">Objective </w:t>
            </w:r>
            <w:r>
              <w:rPr>
                <w:b/>
              </w:rPr>
              <w:t>4</w:t>
            </w:r>
            <w:r w:rsidRPr="00C03EC7">
              <w:rPr>
                <w:b/>
              </w:rPr>
              <w:t xml:space="preserve">:  </w:t>
            </w:r>
            <w:r w:rsidRPr="00C03EC7">
              <w:t>Support the developmentally appropriate practice in programs birth through grade 2.</w:t>
            </w:r>
          </w:p>
        </w:tc>
      </w:tr>
      <w:tr w:rsidR="00BA19C8" w:rsidTr="003F46DE">
        <w:tc>
          <w:tcPr>
            <w:tcW w:w="1919" w:type="dxa"/>
          </w:tcPr>
          <w:p w:rsidR="00BA19C8" w:rsidRPr="00BA19C8" w:rsidRDefault="00BA19C8" w:rsidP="003F46DE">
            <w:pPr>
              <w:rPr>
                <w:b/>
              </w:rPr>
            </w:pPr>
            <w:r w:rsidRPr="00BA19C8">
              <w:rPr>
                <w:b/>
              </w:rPr>
              <w:t>Blue Ribbon Committee Alignment</w:t>
            </w:r>
          </w:p>
        </w:tc>
        <w:tc>
          <w:tcPr>
            <w:tcW w:w="7431" w:type="dxa"/>
          </w:tcPr>
          <w:p w:rsidR="00BA19C8" w:rsidRDefault="00F43B4F" w:rsidP="003F46DE">
            <w:r w:rsidRPr="00F43B4F">
              <w:t>Adopt and implement a competency-based approach in pre-service teacher preparation programs and in-service professional development</w:t>
            </w:r>
          </w:p>
          <w:p w:rsidR="00F43B4F" w:rsidRDefault="00F43B4F" w:rsidP="003F46DE">
            <w:r w:rsidRPr="00F43B4F">
              <w:t xml:space="preserve">Establish five Early Learning Regional Technical Assistance Centers </w:t>
            </w:r>
          </w:p>
        </w:tc>
      </w:tr>
      <w:tr w:rsidR="00BA19C8" w:rsidTr="003F46DE">
        <w:tc>
          <w:tcPr>
            <w:tcW w:w="1919" w:type="dxa"/>
          </w:tcPr>
          <w:p w:rsidR="00BA19C8" w:rsidRPr="00BA19C8" w:rsidRDefault="00BA19C8" w:rsidP="003F46DE">
            <w:pPr>
              <w:rPr>
                <w:b/>
              </w:rPr>
            </w:pPr>
            <w:r w:rsidRPr="00BA19C8">
              <w:rPr>
                <w:b/>
              </w:rPr>
              <w:t>1000 Days of Medicaid</w:t>
            </w:r>
          </w:p>
        </w:tc>
        <w:tc>
          <w:tcPr>
            <w:tcW w:w="7431" w:type="dxa"/>
          </w:tcPr>
          <w:p w:rsidR="00F43B4F" w:rsidRPr="00F43B4F" w:rsidRDefault="00F43B4F" w:rsidP="003F46DE">
            <w:r w:rsidRPr="00F43B4F">
              <w:t>Promote Early Literacy through Local Strategies</w:t>
            </w:r>
          </w:p>
          <w:p w:rsidR="00BA19C8" w:rsidRDefault="00F43B4F" w:rsidP="003F46DE">
            <w:r w:rsidRPr="00F43B4F">
              <w:t>NYS Developmental Inventory Upon Kindergarten Entry</w:t>
            </w:r>
          </w:p>
        </w:tc>
      </w:tr>
      <w:tr w:rsidR="00BA19C8" w:rsidTr="003F46DE">
        <w:tc>
          <w:tcPr>
            <w:tcW w:w="1919" w:type="dxa"/>
          </w:tcPr>
          <w:p w:rsidR="00BA19C8" w:rsidRPr="00BA19C8" w:rsidRDefault="00BA19C8" w:rsidP="003F46DE">
            <w:pPr>
              <w:rPr>
                <w:b/>
              </w:rPr>
            </w:pPr>
            <w:r w:rsidRPr="00BA19C8">
              <w:rPr>
                <w:b/>
              </w:rPr>
              <w:t>CCDF</w:t>
            </w:r>
          </w:p>
        </w:tc>
        <w:tc>
          <w:tcPr>
            <w:tcW w:w="7431" w:type="dxa"/>
          </w:tcPr>
          <w:p w:rsidR="00BA19C8" w:rsidRDefault="00F43B4F" w:rsidP="003F46DE">
            <w:r>
              <w:t>6 – Recruit and Retain a Qualified and Effective Child Care Workforce</w:t>
            </w:r>
          </w:p>
        </w:tc>
      </w:tr>
    </w:tbl>
    <w:p w:rsidR="003C1B34" w:rsidRPr="00253E55" w:rsidRDefault="00073731" w:rsidP="003F46DE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7431"/>
      </w:tblGrid>
      <w:tr w:rsidR="00BA19C8" w:rsidTr="002F7880">
        <w:tc>
          <w:tcPr>
            <w:tcW w:w="9350" w:type="dxa"/>
            <w:gridSpan w:val="2"/>
            <w:shd w:val="clear" w:color="auto" w:fill="2E74B5" w:themeFill="accent1" w:themeFillShade="BF"/>
          </w:tcPr>
          <w:p w:rsidR="00BA19C8" w:rsidRDefault="00BA19C8" w:rsidP="00A25764">
            <w:r w:rsidRPr="002F7880">
              <w:rPr>
                <w:color w:val="FFFFFF" w:themeColor="background1"/>
              </w:rPr>
              <w:t>Recommendation 6: Support the consistent quality and coherence of professional learning supports during ongoing practice for professionals working with children birth to age 8.</w:t>
            </w:r>
          </w:p>
        </w:tc>
      </w:tr>
      <w:tr w:rsidR="00BA19C8" w:rsidRPr="00B953D9" w:rsidTr="00A25764">
        <w:tc>
          <w:tcPr>
            <w:tcW w:w="9350" w:type="dxa"/>
            <w:gridSpan w:val="2"/>
          </w:tcPr>
          <w:p w:rsidR="00BA19C8" w:rsidRPr="00B953D9" w:rsidRDefault="00BA19C8" w:rsidP="00A25764">
            <w:r w:rsidRPr="00BA19C8">
              <w:t>6.1: Increase number of TTAP credentialed PD Specialists and Coaches that represent the diversity of NYS.</w:t>
            </w:r>
          </w:p>
        </w:tc>
      </w:tr>
      <w:tr w:rsidR="00BA19C8" w:rsidRPr="00B953D9" w:rsidTr="00A25764">
        <w:tc>
          <w:tcPr>
            <w:tcW w:w="9350" w:type="dxa"/>
            <w:gridSpan w:val="2"/>
          </w:tcPr>
          <w:p w:rsidR="00BA19C8" w:rsidRPr="00B953D9" w:rsidRDefault="00BA19C8" w:rsidP="00A25764">
            <w:r w:rsidRPr="00BA19C8">
              <w:t>6.2: Identify resources to support additional credit-bearing credentialing of ECE providers appropriate for their role and career advancement.</w:t>
            </w:r>
          </w:p>
        </w:tc>
      </w:tr>
      <w:tr w:rsidR="00BA19C8" w:rsidRPr="00B953D9" w:rsidTr="00A25764">
        <w:tc>
          <w:tcPr>
            <w:tcW w:w="9350" w:type="dxa"/>
            <w:gridSpan w:val="2"/>
          </w:tcPr>
          <w:p w:rsidR="00BA19C8" w:rsidRPr="00B953D9" w:rsidRDefault="00BA19C8" w:rsidP="00A25764">
            <w:r w:rsidRPr="00BA19C8">
              <w:t>6.3:  Identify resources to support PD for educators (birth to age 8) appropriate for their role and advancement.</w:t>
            </w:r>
          </w:p>
        </w:tc>
      </w:tr>
      <w:tr w:rsidR="00BA19C8" w:rsidRPr="00B953D9" w:rsidTr="00A25764">
        <w:tc>
          <w:tcPr>
            <w:tcW w:w="9350" w:type="dxa"/>
            <w:gridSpan w:val="2"/>
          </w:tcPr>
          <w:p w:rsidR="00BA19C8" w:rsidRPr="00B953D9" w:rsidRDefault="00BA19C8" w:rsidP="00A25764">
            <w:r w:rsidRPr="00BA19C8">
              <w:t>6.4:  Create a new regulation that all center directors, principals, and other school building leaders responsible for young children (0-8) earn the state's</w:t>
            </w:r>
            <w:r>
              <w:t xml:space="preserve"> </w:t>
            </w:r>
            <w:r w:rsidRPr="00BA19C8">
              <w:t>CPAC Credential or equivalent.</w:t>
            </w:r>
          </w:p>
        </w:tc>
      </w:tr>
      <w:tr w:rsidR="00BA19C8" w:rsidRPr="00B953D9" w:rsidTr="00A25764">
        <w:tc>
          <w:tcPr>
            <w:tcW w:w="9350" w:type="dxa"/>
            <w:gridSpan w:val="2"/>
          </w:tcPr>
          <w:p w:rsidR="00BA19C8" w:rsidRPr="00BA19C8" w:rsidRDefault="00BA19C8" w:rsidP="00A25764">
            <w:r w:rsidRPr="00BA19C8">
              <w:t>6.5:  FCC placeholder  - needs group discussion</w:t>
            </w:r>
          </w:p>
        </w:tc>
      </w:tr>
      <w:tr w:rsidR="00BA19C8" w:rsidTr="00A25764">
        <w:tc>
          <w:tcPr>
            <w:tcW w:w="1919" w:type="dxa"/>
          </w:tcPr>
          <w:p w:rsidR="00BA19C8" w:rsidRPr="00BA19C8" w:rsidRDefault="00BA19C8" w:rsidP="00BA19C8">
            <w:pPr>
              <w:rPr>
                <w:b/>
              </w:rPr>
            </w:pPr>
            <w:r w:rsidRPr="00BA19C8">
              <w:rPr>
                <w:b/>
              </w:rPr>
              <w:t>ECAC Strategic Plan Alignment</w:t>
            </w:r>
          </w:p>
        </w:tc>
        <w:tc>
          <w:tcPr>
            <w:tcW w:w="7431" w:type="dxa"/>
          </w:tcPr>
          <w:p w:rsidR="00BA19C8" w:rsidRPr="00BA19C8" w:rsidRDefault="00BA19C8" w:rsidP="00BA19C8">
            <w:pPr>
              <w:rPr>
                <w:b/>
              </w:rPr>
            </w:pPr>
            <w:r w:rsidRPr="00BA19C8">
              <w:rPr>
                <w:b/>
              </w:rPr>
              <w:t>Focus Area: Early Learning</w:t>
            </w:r>
          </w:p>
          <w:p w:rsidR="00BA19C8" w:rsidRDefault="00BA19C8" w:rsidP="00BA19C8">
            <w:r w:rsidRPr="00C03EC7">
              <w:rPr>
                <w:b/>
              </w:rPr>
              <w:t xml:space="preserve">Objective 2: </w:t>
            </w:r>
            <w:r w:rsidRPr="00C03EC7">
              <w:t>Increase the knowledge and competencies of the early care and education workforce.</w:t>
            </w:r>
          </w:p>
          <w:p w:rsidR="00BA19C8" w:rsidRDefault="00BA19C8" w:rsidP="00BA19C8">
            <w:pPr>
              <w:rPr>
                <w:rFonts w:cs="Gill Sans MT"/>
              </w:rPr>
            </w:pPr>
            <w:r w:rsidRPr="00FF0626">
              <w:rPr>
                <w:rFonts w:cs="Gill Sans MT"/>
                <w:b/>
              </w:rPr>
              <w:t>Objective 3:</w:t>
            </w:r>
            <w:r w:rsidRPr="00FF0626">
              <w:rPr>
                <w:rFonts w:cs="Gill Sans MT"/>
              </w:rPr>
              <w:t xml:space="preserve">   </w:t>
            </w:r>
            <w:r>
              <w:rPr>
                <w:rFonts w:cs="Gill Sans MT"/>
              </w:rPr>
              <w:t xml:space="preserve">Make recommendations to establish </w:t>
            </w:r>
            <w:r w:rsidRPr="00FF0626">
              <w:rPr>
                <w:rFonts w:cs="Gill Sans MT"/>
              </w:rPr>
              <w:t xml:space="preserve">recruitment and retention strategies to ensure New York has the early childhood workforce necessary to implement a high quality early learning system.  </w:t>
            </w:r>
          </w:p>
          <w:p w:rsidR="00BA19C8" w:rsidRPr="00C03EC7" w:rsidRDefault="00BA19C8" w:rsidP="00BA19C8">
            <w:r w:rsidRPr="00C03EC7">
              <w:rPr>
                <w:b/>
              </w:rPr>
              <w:lastRenderedPageBreak/>
              <w:t xml:space="preserve">Objective </w:t>
            </w:r>
            <w:r>
              <w:rPr>
                <w:b/>
              </w:rPr>
              <w:t>4</w:t>
            </w:r>
            <w:r w:rsidRPr="00C03EC7">
              <w:rPr>
                <w:b/>
              </w:rPr>
              <w:t xml:space="preserve">:  </w:t>
            </w:r>
            <w:r w:rsidRPr="00C03EC7">
              <w:t>Support the developmentally appropriate practice in programs birth through grade 2.</w:t>
            </w:r>
          </w:p>
        </w:tc>
      </w:tr>
      <w:tr w:rsidR="00BA19C8" w:rsidTr="00A25764">
        <w:tc>
          <w:tcPr>
            <w:tcW w:w="1919" w:type="dxa"/>
          </w:tcPr>
          <w:p w:rsidR="00BA19C8" w:rsidRPr="00BA19C8" w:rsidRDefault="00BA19C8" w:rsidP="00BA19C8">
            <w:pPr>
              <w:rPr>
                <w:b/>
              </w:rPr>
            </w:pPr>
            <w:r w:rsidRPr="00BA19C8">
              <w:rPr>
                <w:b/>
              </w:rPr>
              <w:lastRenderedPageBreak/>
              <w:t>Blue Ribbon Committee Alignment</w:t>
            </w:r>
          </w:p>
        </w:tc>
        <w:tc>
          <w:tcPr>
            <w:tcW w:w="7431" w:type="dxa"/>
          </w:tcPr>
          <w:p w:rsidR="00BA19C8" w:rsidRDefault="00F43B4F" w:rsidP="00BA19C8">
            <w:r w:rsidRPr="00F43B4F">
              <w:t>Adopt and implement a competency-based approach in pre-service teacher preparation programs and in-service professional development</w:t>
            </w:r>
          </w:p>
          <w:p w:rsidR="00F43B4F" w:rsidRDefault="00F43B4F" w:rsidP="00BA19C8">
            <w:r w:rsidRPr="00F43B4F">
              <w:t xml:space="preserve">Establish five Early Learning Regional Technical Assistance Centers </w:t>
            </w:r>
          </w:p>
        </w:tc>
      </w:tr>
      <w:tr w:rsidR="00BA19C8" w:rsidTr="00A25764">
        <w:tc>
          <w:tcPr>
            <w:tcW w:w="1919" w:type="dxa"/>
          </w:tcPr>
          <w:p w:rsidR="00BA19C8" w:rsidRPr="00BA19C8" w:rsidRDefault="00BA19C8" w:rsidP="00BA19C8">
            <w:pPr>
              <w:rPr>
                <w:b/>
              </w:rPr>
            </w:pPr>
            <w:r w:rsidRPr="00BA19C8">
              <w:rPr>
                <w:b/>
              </w:rPr>
              <w:t>1000 Days of Medicaid</w:t>
            </w:r>
          </w:p>
        </w:tc>
        <w:tc>
          <w:tcPr>
            <w:tcW w:w="7431" w:type="dxa"/>
          </w:tcPr>
          <w:p w:rsidR="00F43B4F" w:rsidRPr="00F43B4F" w:rsidRDefault="00F43B4F" w:rsidP="00F43B4F">
            <w:r w:rsidRPr="00F43B4F">
              <w:t>Promote Early Literacy through Local Strategies</w:t>
            </w:r>
          </w:p>
          <w:p w:rsidR="00BA19C8" w:rsidRDefault="00F43B4F" w:rsidP="00F43B4F">
            <w:r w:rsidRPr="00F43B4F">
              <w:t>NYS Developmental Inventory Upon Kindergarten Entry</w:t>
            </w:r>
          </w:p>
        </w:tc>
      </w:tr>
      <w:tr w:rsidR="00BA19C8" w:rsidTr="00A25764">
        <w:tc>
          <w:tcPr>
            <w:tcW w:w="1919" w:type="dxa"/>
          </w:tcPr>
          <w:p w:rsidR="00BA19C8" w:rsidRPr="00BA19C8" w:rsidRDefault="00BA19C8" w:rsidP="00BA19C8">
            <w:pPr>
              <w:rPr>
                <w:b/>
              </w:rPr>
            </w:pPr>
            <w:r w:rsidRPr="00BA19C8">
              <w:rPr>
                <w:b/>
              </w:rPr>
              <w:t>CCDF</w:t>
            </w:r>
          </w:p>
        </w:tc>
        <w:tc>
          <w:tcPr>
            <w:tcW w:w="7431" w:type="dxa"/>
          </w:tcPr>
          <w:p w:rsidR="00BA19C8" w:rsidRDefault="002A26F0" w:rsidP="00BA19C8">
            <w:r>
              <w:t>6 – Recruit and Retain a Qualified and Effective Child Care Workforce</w:t>
            </w:r>
          </w:p>
        </w:tc>
      </w:tr>
    </w:tbl>
    <w:p w:rsidR="00BA19C8" w:rsidRDefault="00BA1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7431"/>
      </w:tblGrid>
      <w:tr w:rsidR="00BA19C8" w:rsidTr="002F7880">
        <w:tc>
          <w:tcPr>
            <w:tcW w:w="9350" w:type="dxa"/>
            <w:gridSpan w:val="2"/>
            <w:shd w:val="clear" w:color="auto" w:fill="2E74B5" w:themeFill="accent1" w:themeFillShade="BF"/>
          </w:tcPr>
          <w:p w:rsidR="00BA19C8" w:rsidRDefault="00BA19C8" w:rsidP="00A25764">
            <w:r w:rsidRPr="002F7880">
              <w:rPr>
                <w:color w:val="FFFFFF" w:themeColor="background1"/>
              </w:rPr>
              <w:t>Recommendation 7: Develop a new paradigm for evaluation and assessment of professional practice for those who work with children from birth to age 8.</w:t>
            </w:r>
          </w:p>
        </w:tc>
      </w:tr>
      <w:tr w:rsidR="00BA19C8" w:rsidRPr="00B953D9" w:rsidTr="00A25764">
        <w:tc>
          <w:tcPr>
            <w:tcW w:w="9350" w:type="dxa"/>
            <w:gridSpan w:val="2"/>
          </w:tcPr>
          <w:p w:rsidR="00BA19C8" w:rsidRPr="00B953D9" w:rsidRDefault="00BA19C8" w:rsidP="00A25764">
            <w:r w:rsidRPr="00BA19C8">
              <w:t>7.1 Create and require a pd series supporting site directors, include an approach that supports individuals who have autonomy in their work,</w:t>
            </w:r>
            <w:r>
              <w:t xml:space="preserve"> </w:t>
            </w:r>
            <w:r w:rsidRPr="00BA19C8">
              <w:t>use of the CBK to assess professional practice and to be used to design staff pd plans.</w:t>
            </w:r>
          </w:p>
        </w:tc>
      </w:tr>
      <w:tr w:rsidR="00BA19C8" w:rsidRPr="00B953D9" w:rsidTr="00A25764">
        <w:tc>
          <w:tcPr>
            <w:tcW w:w="9350" w:type="dxa"/>
            <w:gridSpan w:val="2"/>
          </w:tcPr>
          <w:p w:rsidR="00BA19C8" w:rsidRPr="00B953D9" w:rsidRDefault="00BA19C8" w:rsidP="00A25764">
            <w:r w:rsidRPr="00BA19C8">
              <w:t xml:space="preserve">7.2:  Tie public funding that supports professional development to an endorsed pd plan based on </w:t>
            </w:r>
            <w:proofErr w:type="spellStart"/>
            <w:r w:rsidRPr="00BA19C8">
              <w:t>cbk</w:t>
            </w:r>
            <w:proofErr w:type="spellEnd"/>
            <w:r w:rsidRPr="00BA19C8">
              <w:t xml:space="preserve"> assessment and that meets state training</w:t>
            </w:r>
            <w:r>
              <w:t xml:space="preserve"> </w:t>
            </w:r>
            <w:r w:rsidRPr="00BA19C8">
              <w:t>requirements, including CTLE.</w:t>
            </w:r>
          </w:p>
        </w:tc>
      </w:tr>
      <w:tr w:rsidR="00C10849" w:rsidRPr="00B953D9" w:rsidTr="00A25764">
        <w:tc>
          <w:tcPr>
            <w:tcW w:w="9350" w:type="dxa"/>
            <w:gridSpan w:val="2"/>
          </w:tcPr>
          <w:p w:rsidR="00C10849" w:rsidRPr="00BA19C8" w:rsidRDefault="00C10849" w:rsidP="00A25764">
            <w:r w:rsidRPr="00C10849">
              <w:t>7.3: Ensure EC CST teacher certification test are free of racial bias, aligned to the CBK, implemented equitably and revised accordingly.</w:t>
            </w:r>
          </w:p>
        </w:tc>
      </w:tr>
      <w:tr w:rsidR="00BA19C8" w:rsidRPr="00C03EC7" w:rsidTr="00A25764">
        <w:tc>
          <w:tcPr>
            <w:tcW w:w="1919" w:type="dxa"/>
          </w:tcPr>
          <w:p w:rsidR="00BA19C8" w:rsidRPr="00BA19C8" w:rsidRDefault="00BA19C8" w:rsidP="00A25764">
            <w:pPr>
              <w:rPr>
                <w:b/>
              </w:rPr>
            </w:pPr>
            <w:r w:rsidRPr="00BA19C8">
              <w:rPr>
                <w:b/>
              </w:rPr>
              <w:t>ECAC Strategic Plan Alignment</w:t>
            </w:r>
          </w:p>
        </w:tc>
        <w:tc>
          <w:tcPr>
            <w:tcW w:w="7431" w:type="dxa"/>
          </w:tcPr>
          <w:p w:rsidR="00C10849" w:rsidRPr="00BA19C8" w:rsidRDefault="00C10849" w:rsidP="00C10849">
            <w:pPr>
              <w:rPr>
                <w:b/>
              </w:rPr>
            </w:pPr>
            <w:r w:rsidRPr="00BA19C8">
              <w:rPr>
                <w:b/>
              </w:rPr>
              <w:t>Focus Area: Early Learning</w:t>
            </w:r>
          </w:p>
          <w:p w:rsidR="00C10849" w:rsidRDefault="00C10849" w:rsidP="00C10849">
            <w:r w:rsidRPr="00C03EC7">
              <w:rPr>
                <w:b/>
              </w:rPr>
              <w:t xml:space="preserve">Objective 2: </w:t>
            </w:r>
            <w:r w:rsidRPr="00C03EC7">
              <w:t>Increase the knowledge and competencies of the early care and education workforce.</w:t>
            </w:r>
          </w:p>
          <w:p w:rsidR="00BA19C8" w:rsidRPr="00C03EC7" w:rsidRDefault="00C10849" w:rsidP="00BA19C8">
            <w:r w:rsidRPr="00C03EC7">
              <w:rPr>
                <w:b/>
              </w:rPr>
              <w:t xml:space="preserve">Objective </w:t>
            </w:r>
            <w:r>
              <w:rPr>
                <w:b/>
              </w:rPr>
              <w:t>4</w:t>
            </w:r>
            <w:r w:rsidRPr="00C03EC7">
              <w:rPr>
                <w:b/>
              </w:rPr>
              <w:t xml:space="preserve">:  </w:t>
            </w:r>
            <w:r w:rsidRPr="00C03EC7">
              <w:t>Support the developmentally appropriate practice in programs birth through grade 2.</w:t>
            </w:r>
          </w:p>
        </w:tc>
      </w:tr>
      <w:tr w:rsidR="00BA19C8" w:rsidTr="00A25764">
        <w:tc>
          <w:tcPr>
            <w:tcW w:w="1919" w:type="dxa"/>
          </w:tcPr>
          <w:p w:rsidR="00BA19C8" w:rsidRPr="00BA19C8" w:rsidRDefault="00BA19C8" w:rsidP="00A25764">
            <w:pPr>
              <w:rPr>
                <w:b/>
              </w:rPr>
            </w:pPr>
            <w:r w:rsidRPr="00BA19C8">
              <w:rPr>
                <w:b/>
              </w:rPr>
              <w:t>Blue Ribbon Committee Alignment</w:t>
            </w:r>
          </w:p>
        </w:tc>
        <w:tc>
          <w:tcPr>
            <w:tcW w:w="7431" w:type="dxa"/>
          </w:tcPr>
          <w:p w:rsidR="00BA19C8" w:rsidRDefault="00F43B4F" w:rsidP="00A25764">
            <w:r w:rsidRPr="00F43B4F">
              <w:t>Adopt and implement a competency-based approach in pre-service teacher preparation programs and in-service professional development</w:t>
            </w:r>
          </w:p>
        </w:tc>
      </w:tr>
      <w:tr w:rsidR="00BA19C8" w:rsidTr="00A25764">
        <w:tc>
          <w:tcPr>
            <w:tcW w:w="1919" w:type="dxa"/>
          </w:tcPr>
          <w:p w:rsidR="00BA19C8" w:rsidRPr="00BA19C8" w:rsidRDefault="00BA19C8" w:rsidP="00A25764">
            <w:pPr>
              <w:rPr>
                <w:b/>
              </w:rPr>
            </w:pPr>
            <w:r w:rsidRPr="00BA19C8">
              <w:rPr>
                <w:b/>
              </w:rPr>
              <w:t>1000 Days of Medicaid</w:t>
            </w:r>
          </w:p>
        </w:tc>
        <w:tc>
          <w:tcPr>
            <w:tcW w:w="7431" w:type="dxa"/>
          </w:tcPr>
          <w:p w:rsidR="00F43B4F" w:rsidRPr="00F43B4F" w:rsidRDefault="00F43B4F" w:rsidP="00F43B4F">
            <w:r w:rsidRPr="00F43B4F">
              <w:t>Promote Early Literacy through Local Strategies</w:t>
            </w:r>
          </w:p>
          <w:p w:rsidR="00BA19C8" w:rsidRDefault="00F43B4F" w:rsidP="00A25764">
            <w:r w:rsidRPr="00F43B4F">
              <w:t>NYS Developmental Inventory Upon Kindergarten Entry</w:t>
            </w:r>
          </w:p>
        </w:tc>
      </w:tr>
      <w:tr w:rsidR="00BA19C8" w:rsidTr="00A25764">
        <w:tc>
          <w:tcPr>
            <w:tcW w:w="1919" w:type="dxa"/>
          </w:tcPr>
          <w:p w:rsidR="00BA19C8" w:rsidRPr="00BA19C8" w:rsidRDefault="00BA19C8" w:rsidP="00A25764">
            <w:pPr>
              <w:rPr>
                <w:b/>
              </w:rPr>
            </w:pPr>
            <w:r w:rsidRPr="00BA19C8">
              <w:rPr>
                <w:b/>
              </w:rPr>
              <w:t>CCDF</w:t>
            </w:r>
          </w:p>
        </w:tc>
        <w:tc>
          <w:tcPr>
            <w:tcW w:w="7431" w:type="dxa"/>
          </w:tcPr>
          <w:p w:rsidR="00BA19C8" w:rsidRDefault="002A26F0" w:rsidP="00A25764">
            <w:r>
              <w:t>6 – Recruit and Retain a Qualified and Effective Child Care Workforce</w:t>
            </w:r>
          </w:p>
        </w:tc>
      </w:tr>
    </w:tbl>
    <w:p w:rsidR="00BA19C8" w:rsidRDefault="00BA1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7431"/>
      </w:tblGrid>
      <w:tr w:rsidR="00C10849" w:rsidTr="002F7880">
        <w:tc>
          <w:tcPr>
            <w:tcW w:w="9350" w:type="dxa"/>
            <w:gridSpan w:val="2"/>
            <w:shd w:val="clear" w:color="auto" w:fill="2E74B5" w:themeFill="accent1" w:themeFillShade="BF"/>
          </w:tcPr>
          <w:p w:rsidR="00C10849" w:rsidRDefault="00C10849" w:rsidP="00A25764">
            <w:r w:rsidRPr="002F7880">
              <w:rPr>
                <w:color w:val="FFFFFF" w:themeColor="background1"/>
              </w:rPr>
              <w:t>Recommendation 9: Strengthen collaboration and communication among professionals and systems within the care and education sector and closely related sectors, especially health and social services.</w:t>
            </w:r>
          </w:p>
        </w:tc>
      </w:tr>
      <w:tr w:rsidR="00C10849" w:rsidRPr="00B953D9" w:rsidTr="00A25764">
        <w:tc>
          <w:tcPr>
            <w:tcW w:w="9350" w:type="dxa"/>
            <w:gridSpan w:val="2"/>
          </w:tcPr>
          <w:p w:rsidR="00C10849" w:rsidRPr="00B953D9" w:rsidRDefault="00C10849" w:rsidP="00A25764">
            <w:r w:rsidRPr="00C10849">
              <w:t xml:space="preserve">9.1: All new licensed and registered programs are required to join Aspire; and current programs are required to join Aspire upon next renewal.  </w:t>
            </w:r>
          </w:p>
        </w:tc>
      </w:tr>
      <w:tr w:rsidR="00C10849" w:rsidRPr="00C03EC7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ECAC Strategic Plan Alignment</w:t>
            </w:r>
          </w:p>
        </w:tc>
        <w:tc>
          <w:tcPr>
            <w:tcW w:w="7431" w:type="dxa"/>
          </w:tcPr>
          <w:p w:rsidR="00C10849" w:rsidRDefault="00C10849" w:rsidP="00A25764">
            <w:pPr>
              <w:rPr>
                <w:rFonts w:cstheme="minorHAnsi"/>
                <w:b/>
              </w:rPr>
            </w:pPr>
            <w:r w:rsidRPr="00557CA3">
              <w:rPr>
                <w:rFonts w:cstheme="minorHAnsi"/>
                <w:b/>
              </w:rPr>
              <w:t>Focus Area: Coordinated and Responsive Systems</w:t>
            </w:r>
          </w:p>
          <w:p w:rsidR="00C10849" w:rsidRPr="00C03EC7" w:rsidRDefault="00C10849" w:rsidP="00A25764">
            <w:r w:rsidRPr="00557CA3">
              <w:rPr>
                <w:rFonts w:cstheme="minorHAnsi"/>
                <w:b/>
              </w:rPr>
              <w:t xml:space="preserve">Objective </w:t>
            </w:r>
            <w:r>
              <w:rPr>
                <w:rFonts w:cstheme="minorHAnsi"/>
                <w:b/>
              </w:rPr>
              <w:t>4</w:t>
            </w:r>
            <w:r w:rsidRPr="00557CA3">
              <w:rPr>
                <w:rFonts w:cstheme="minorHAnsi"/>
                <w:b/>
              </w:rPr>
              <w:t>:</w:t>
            </w:r>
            <w:r w:rsidRPr="00557CA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C83B05">
              <w:rPr>
                <w:rFonts w:cstheme="minorHAnsi"/>
              </w:rPr>
              <w:t>Advocate for and support the development of an early childhood integrated data system to track child outcomes and improve the state’s capacity to manage the early childhood services system.</w:t>
            </w:r>
          </w:p>
        </w:tc>
      </w:tr>
      <w:tr w:rsidR="00C10849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Blue Ribbon Committee Alignment</w:t>
            </w:r>
          </w:p>
        </w:tc>
        <w:tc>
          <w:tcPr>
            <w:tcW w:w="7431" w:type="dxa"/>
          </w:tcPr>
          <w:p w:rsidR="00BB1DE3" w:rsidRDefault="00F43B4F" w:rsidP="00F43B4F">
            <w:r w:rsidRPr="00F43B4F">
              <w:t>Conduct a cost study to validate the actual cost of a high-quality prekinde</w:t>
            </w:r>
            <w:r w:rsidR="00BB1DE3">
              <w:t>rgarten</w:t>
            </w:r>
          </w:p>
          <w:p w:rsidR="00F43B4F" w:rsidRPr="00F43B4F" w:rsidRDefault="00F43B4F" w:rsidP="00F43B4F">
            <w:r w:rsidRPr="00F43B4F">
              <w:t xml:space="preserve">Establish five Early Learning Regional Technical Assistance Centers </w:t>
            </w:r>
          </w:p>
          <w:p w:rsidR="00C10849" w:rsidRDefault="00F43B4F" w:rsidP="00A25764">
            <w:r w:rsidRPr="00F43B4F">
              <w:t xml:space="preserve">Begin the creation of a unified HIPAA and FERPA- compliant data system </w:t>
            </w:r>
          </w:p>
        </w:tc>
      </w:tr>
      <w:tr w:rsidR="00C10849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lastRenderedPageBreak/>
              <w:t>1000 Days of Medicaid</w:t>
            </w:r>
          </w:p>
        </w:tc>
        <w:tc>
          <w:tcPr>
            <w:tcW w:w="7431" w:type="dxa"/>
          </w:tcPr>
          <w:p w:rsidR="00F43B4F" w:rsidRPr="00F43B4F" w:rsidRDefault="00F43B4F" w:rsidP="00F43B4F">
            <w:r w:rsidRPr="00F43B4F">
              <w:t>Pilot and Evaluate Peer Family Navigators in Multiple Settings</w:t>
            </w:r>
          </w:p>
          <w:p w:rsidR="00C10849" w:rsidRDefault="00F43B4F" w:rsidP="00F43B4F">
            <w:r w:rsidRPr="00F43B4F">
              <w:t>Data System Development for Cross-Sector Referrals</w:t>
            </w:r>
          </w:p>
        </w:tc>
      </w:tr>
      <w:tr w:rsidR="00C10849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CCDF</w:t>
            </w:r>
          </w:p>
        </w:tc>
        <w:tc>
          <w:tcPr>
            <w:tcW w:w="7431" w:type="dxa"/>
          </w:tcPr>
          <w:p w:rsidR="00C10849" w:rsidRDefault="002A26F0" w:rsidP="00A25764">
            <w:r>
              <w:t>7 – Support Continuous Quality Improvement</w:t>
            </w:r>
          </w:p>
          <w:p w:rsidR="002A26F0" w:rsidRDefault="002A26F0" w:rsidP="00A25764">
            <w:r>
              <w:t>8 – Ensure Grantee Program Integrity and Accountability</w:t>
            </w:r>
          </w:p>
        </w:tc>
      </w:tr>
    </w:tbl>
    <w:p w:rsidR="00C10849" w:rsidRDefault="00C10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7431"/>
      </w:tblGrid>
      <w:tr w:rsidR="00C10849" w:rsidTr="002F7880">
        <w:tc>
          <w:tcPr>
            <w:tcW w:w="9350" w:type="dxa"/>
            <w:gridSpan w:val="2"/>
            <w:shd w:val="clear" w:color="auto" w:fill="2E74B5" w:themeFill="accent1" w:themeFillShade="BF"/>
          </w:tcPr>
          <w:p w:rsidR="00C10849" w:rsidRDefault="00C10849" w:rsidP="00A25764">
            <w:r w:rsidRPr="002F7880">
              <w:rPr>
                <w:color w:val="FFFFFF" w:themeColor="background1"/>
              </w:rPr>
              <w:t>Recommendation 10: Support workforce development with coherent funding, oversights, and policies.</w:t>
            </w:r>
          </w:p>
        </w:tc>
      </w:tr>
      <w:tr w:rsidR="00C10849" w:rsidRPr="00B953D9" w:rsidTr="00A25764">
        <w:tc>
          <w:tcPr>
            <w:tcW w:w="9350" w:type="dxa"/>
            <w:gridSpan w:val="2"/>
          </w:tcPr>
          <w:p w:rsidR="00C10849" w:rsidRPr="00B953D9" w:rsidRDefault="00C10849" w:rsidP="00A25764">
            <w:r w:rsidRPr="00C10849">
              <w:t>10.1:  Establish the current 9 training topic areas in regulation instead of in statute.</w:t>
            </w:r>
          </w:p>
        </w:tc>
      </w:tr>
      <w:tr w:rsidR="00C10849" w:rsidRPr="00B953D9" w:rsidTr="00C10849">
        <w:trPr>
          <w:trHeight w:val="323"/>
        </w:trPr>
        <w:tc>
          <w:tcPr>
            <w:tcW w:w="9350" w:type="dxa"/>
            <w:gridSpan w:val="2"/>
          </w:tcPr>
          <w:p w:rsidR="00C10849" w:rsidRPr="00C10849" w:rsidRDefault="00C10849" w:rsidP="00A25764">
            <w:r w:rsidRPr="00C10849">
              <w:t>10.2: Revise state Early Learning Guidelines ….and to include kindergarten through grade 3.</w:t>
            </w:r>
          </w:p>
        </w:tc>
      </w:tr>
      <w:tr w:rsidR="00C10849" w:rsidRPr="00B953D9" w:rsidTr="00C10849">
        <w:trPr>
          <w:trHeight w:val="332"/>
        </w:trPr>
        <w:tc>
          <w:tcPr>
            <w:tcW w:w="9350" w:type="dxa"/>
            <w:gridSpan w:val="2"/>
          </w:tcPr>
          <w:p w:rsidR="00C10849" w:rsidRPr="00C10849" w:rsidRDefault="00C10849" w:rsidP="00A25764">
            <w:r w:rsidRPr="00C10849">
              <w:t>10.3: Recommend that OCFS include QSNY in reimbursement enhancement rate, in new subsidy registration.</w:t>
            </w:r>
          </w:p>
        </w:tc>
      </w:tr>
      <w:tr w:rsidR="00C10849" w:rsidRPr="00B953D9" w:rsidTr="00A25764">
        <w:tc>
          <w:tcPr>
            <w:tcW w:w="9350" w:type="dxa"/>
            <w:gridSpan w:val="2"/>
          </w:tcPr>
          <w:p w:rsidR="00C10849" w:rsidRPr="00C10849" w:rsidRDefault="00C10849" w:rsidP="00A25764">
            <w:r w:rsidRPr="00C10849">
              <w:t>10.4: Charge QSNY to develop and present a wage enhancement proposal &amp; strategy for programs earning 4 &amp; 5 stars, provided that the site is</w:t>
            </w:r>
            <w:r>
              <w:t xml:space="preserve"> </w:t>
            </w:r>
            <w:r w:rsidRPr="00C10849">
              <w:t>receiving at least 75% of the market rate.</w:t>
            </w:r>
          </w:p>
        </w:tc>
      </w:tr>
      <w:tr w:rsidR="00C10849" w:rsidRPr="00B953D9" w:rsidTr="00A25764">
        <w:tc>
          <w:tcPr>
            <w:tcW w:w="9350" w:type="dxa"/>
            <w:gridSpan w:val="2"/>
          </w:tcPr>
          <w:p w:rsidR="00C10849" w:rsidRPr="00C10849" w:rsidRDefault="00C10849" w:rsidP="00A25764">
            <w:r w:rsidRPr="00C10849">
              <w:t>10.5 Design policy to ensure all state funded prekindergarten teachers are compensated equitably and commensurate  with qualifications across</w:t>
            </w:r>
            <w:r>
              <w:t xml:space="preserve"> all settings.</w:t>
            </w:r>
          </w:p>
        </w:tc>
      </w:tr>
      <w:tr w:rsidR="00C10849" w:rsidRPr="00C03EC7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ECAC Strategic Plan Alignment</w:t>
            </w:r>
          </w:p>
        </w:tc>
        <w:tc>
          <w:tcPr>
            <w:tcW w:w="7431" w:type="dxa"/>
          </w:tcPr>
          <w:p w:rsidR="00C10849" w:rsidRDefault="00C10849" w:rsidP="00A25764">
            <w:pPr>
              <w:rPr>
                <w:rFonts w:cstheme="minorHAnsi"/>
                <w:b/>
              </w:rPr>
            </w:pPr>
            <w:r w:rsidRPr="00557CA3">
              <w:rPr>
                <w:rFonts w:cstheme="minorHAnsi"/>
                <w:b/>
              </w:rPr>
              <w:t>Focus Area: Coordinated and Responsive Systems</w:t>
            </w:r>
          </w:p>
          <w:p w:rsidR="00F43B4F" w:rsidRDefault="00F43B4F" w:rsidP="00A25764">
            <w:pPr>
              <w:rPr>
                <w:rFonts w:cstheme="minorHAnsi"/>
              </w:rPr>
            </w:pPr>
            <w:r w:rsidRPr="00557CA3">
              <w:rPr>
                <w:rFonts w:cstheme="minorHAnsi"/>
                <w:b/>
              </w:rPr>
              <w:t>Objective 2:</w:t>
            </w:r>
            <w:r w:rsidRPr="00557CA3">
              <w:rPr>
                <w:rFonts w:cstheme="minorHAnsi"/>
              </w:rPr>
              <w:t xml:space="preserve"> Increase public-private investments in early childhood and blend these investments with existing resources to maximize </w:t>
            </w:r>
            <w:r>
              <w:rPr>
                <w:rFonts w:cstheme="minorHAnsi"/>
              </w:rPr>
              <w:t>impact.</w:t>
            </w:r>
          </w:p>
          <w:p w:rsidR="00C10849" w:rsidRPr="00C03EC7" w:rsidRDefault="00C10849" w:rsidP="00A25764">
            <w:r w:rsidRPr="00557CA3">
              <w:rPr>
                <w:rFonts w:cstheme="minorHAnsi"/>
                <w:b/>
              </w:rPr>
              <w:t>Objective 3:</w:t>
            </w:r>
            <w:r w:rsidRPr="00557CA3">
              <w:rPr>
                <w:rFonts w:cstheme="minorHAnsi"/>
              </w:rPr>
              <w:t xml:space="preserve"> Promote policies and statutes that ensure a coordinated and responsive continuum of high quality services that support early learning, healthy children, and strong families. </w:t>
            </w:r>
          </w:p>
        </w:tc>
      </w:tr>
      <w:tr w:rsidR="00C10849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Blue Ribbon Committee Alignment</w:t>
            </w:r>
          </w:p>
        </w:tc>
        <w:tc>
          <w:tcPr>
            <w:tcW w:w="7431" w:type="dxa"/>
          </w:tcPr>
          <w:p w:rsidR="00F43B4F" w:rsidRPr="00F43B4F" w:rsidRDefault="00F43B4F" w:rsidP="00F43B4F">
            <w:r w:rsidRPr="00F43B4F">
              <w:t xml:space="preserve">Expand the Prekindergarten Program </w:t>
            </w:r>
          </w:p>
          <w:p w:rsidR="00C10849" w:rsidRDefault="00F43B4F" w:rsidP="00A25764">
            <w:r w:rsidRPr="00F43B4F">
              <w:t>Conduct a cost study to validate the actual cost of a high-quality prekindergarten</w:t>
            </w:r>
          </w:p>
        </w:tc>
      </w:tr>
      <w:tr w:rsidR="00C10849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1000 Days of Medicaid</w:t>
            </w:r>
          </w:p>
        </w:tc>
        <w:tc>
          <w:tcPr>
            <w:tcW w:w="7431" w:type="dxa"/>
          </w:tcPr>
          <w:p w:rsidR="00F43B4F" w:rsidRPr="00F43B4F" w:rsidRDefault="00F43B4F" w:rsidP="00F43B4F">
            <w:r w:rsidRPr="00F43B4F">
              <w:t>Pilot and Evaluate Peer Family Navigators in Multiple Settings</w:t>
            </w:r>
          </w:p>
          <w:p w:rsidR="00C10849" w:rsidRDefault="00F43B4F" w:rsidP="00F43B4F">
            <w:r w:rsidRPr="00F43B4F">
              <w:t>Data System Development for Cross-Sector Referrals</w:t>
            </w:r>
          </w:p>
          <w:p w:rsidR="00F43B4F" w:rsidRPr="00F43B4F" w:rsidRDefault="00F43B4F" w:rsidP="00F43B4F">
            <w:r w:rsidRPr="00F43B4F">
              <w:t xml:space="preserve">Expand the availability of QUALITYstarsNY </w:t>
            </w:r>
          </w:p>
          <w:p w:rsidR="00F43B4F" w:rsidRDefault="00F43B4F" w:rsidP="00F43B4F">
            <w:r w:rsidRPr="00F43B4F">
              <w:t>Adopt and implement a competency-based approach in pre-service teacher preparation programs and in-service professional development</w:t>
            </w:r>
          </w:p>
        </w:tc>
      </w:tr>
      <w:tr w:rsidR="00C10849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CCDF</w:t>
            </w:r>
          </w:p>
        </w:tc>
        <w:tc>
          <w:tcPr>
            <w:tcW w:w="7431" w:type="dxa"/>
          </w:tcPr>
          <w:p w:rsidR="00C10849" w:rsidRDefault="00F43B4F" w:rsidP="00A25764">
            <w:r>
              <w:t>7 – Support Continuous Quality Improvement</w:t>
            </w:r>
          </w:p>
          <w:p w:rsidR="002A26F0" w:rsidRDefault="002A26F0" w:rsidP="00A25764">
            <w:r>
              <w:t>8 – Ensure Grantee Program Integrity and Accountability</w:t>
            </w:r>
          </w:p>
        </w:tc>
      </w:tr>
    </w:tbl>
    <w:p w:rsidR="00C10849" w:rsidRDefault="00C10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7431"/>
      </w:tblGrid>
      <w:tr w:rsidR="00C10849" w:rsidTr="002F7880">
        <w:tc>
          <w:tcPr>
            <w:tcW w:w="9350" w:type="dxa"/>
            <w:gridSpan w:val="2"/>
            <w:shd w:val="clear" w:color="auto" w:fill="2E74B5" w:themeFill="accent1" w:themeFillShade="BF"/>
          </w:tcPr>
          <w:p w:rsidR="00C10849" w:rsidRDefault="00C10849" w:rsidP="00A25764">
            <w:r w:rsidRPr="002F7880">
              <w:rPr>
                <w:color w:val="FFFFFF" w:themeColor="background1"/>
              </w:rPr>
              <w:t>Recommendation 12: Support comprehensive state- and local- efforts to transform the professional workforce for children from birth through age 8 .</w:t>
            </w:r>
          </w:p>
        </w:tc>
      </w:tr>
      <w:tr w:rsidR="00C10849" w:rsidRPr="00B953D9" w:rsidTr="00A25764">
        <w:tc>
          <w:tcPr>
            <w:tcW w:w="9350" w:type="dxa"/>
            <w:gridSpan w:val="2"/>
          </w:tcPr>
          <w:p w:rsidR="00C10849" w:rsidRPr="00B953D9" w:rsidRDefault="00C10849" w:rsidP="00A25764">
            <w:r w:rsidRPr="00C10849">
              <w:t>12.1: Fully fund and require Aspire for early childhood educators across the state.</w:t>
            </w:r>
          </w:p>
        </w:tc>
      </w:tr>
      <w:tr w:rsidR="00C10849" w:rsidRPr="00B953D9" w:rsidTr="00A25764">
        <w:trPr>
          <w:trHeight w:val="323"/>
        </w:trPr>
        <w:tc>
          <w:tcPr>
            <w:tcW w:w="9350" w:type="dxa"/>
            <w:gridSpan w:val="2"/>
          </w:tcPr>
          <w:p w:rsidR="00C10849" w:rsidRPr="00C10849" w:rsidRDefault="00C10849" w:rsidP="00A25764">
            <w:r w:rsidRPr="008675C7">
              <w:t xml:space="preserve">12.2:  Connect TEACH system with Aspire and connect background clearances to professional development records to reduce duplication. </w:t>
            </w:r>
          </w:p>
        </w:tc>
      </w:tr>
      <w:tr w:rsidR="00C10849" w:rsidRPr="00B953D9" w:rsidTr="00A25764">
        <w:trPr>
          <w:trHeight w:val="332"/>
        </w:trPr>
        <w:tc>
          <w:tcPr>
            <w:tcW w:w="9350" w:type="dxa"/>
            <w:gridSpan w:val="2"/>
          </w:tcPr>
          <w:p w:rsidR="00C10849" w:rsidRPr="00C10849" w:rsidRDefault="00C10849" w:rsidP="00A25764">
            <w:r w:rsidRPr="00C10849">
              <w:t>12.3:  Conduct scan of local efforts that are addressing workforce for children b-8 to determine application to state work.</w:t>
            </w:r>
          </w:p>
        </w:tc>
      </w:tr>
      <w:tr w:rsidR="00C10849" w:rsidRPr="00B953D9" w:rsidTr="00A25764">
        <w:tc>
          <w:tcPr>
            <w:tcW w:w="9350" w:type="dxa"/>
            <w:gridSpan w:val="2"/>
          </w:tcPr>
          <w:p w:rsidR="00C10849" w:rsidRPr="00C10849" w:rsidRDefault="00C10849" w:rsidP="00A25764">
            <w:r w:rsidRPr="00C10849">
              <w:t>12.4:  Continue to explore potential funding and other opportunities to professional learning/apprenticeships. (e.g. Workforce Investment Boards)</w:t>
            </w:r>
          </w:p>
        </w:tc>
      </w:tr>
      <w:tr w:rsidR="00C10849" w:rsidRPr="00C03EC7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lastRenderedPageBreak/>
              <w:t>ECAC Strategic Plan Alignment</w:t>
            </w:r>
          </w:p>
        </w:tc>
        <w:tc>
          <w:tcPr>
            <w:tcW w:w="7431" w:type="dxa"/>
          </w:tcPr>
          <w:p w:rsidR="00C10849" w:rsidRDefault="00F43B4F" w:rsidP="00A25764">
            <w:pPr>
              <w:rPr>
                <w:rFonts w:cstheme="minorHAnsi"/>
                <w:b/>
              </w:rPr>
            </w:pPr>
            <w:r w:rsidRPr="00557CA3">
              <w:rPr>
                <w:rFonts w:cstheme="minorHAnsi"/>
                <w:b/>
              </w:rPr>
              <w:t>Focus Area: Coordinated and Responsive Systems</w:t>
            </w:r>
          </w:p>
          <w:p w:rsidR="00F43B4F" w:rsidRDefault="00F43B4F" w:rsidP="00F43B4F">
            <w:pPr>
              <w:rPr>
                <w:rFonts w:cstheme="minorHAnsi"/>
              </w:rPr>
            </w:pPr>
            <w:r w:rsidRPr="00557CA3">
              <w:rPr>
                <w:rFonts w:cstheme="minorHAnsi"/>
                <w:b/>
              </w:rPr>
              <w:t>Objective 2:</w:t>
            </w:r>
            <w:r w:rsidRPr="00557CA3">
              <w:rPr>
                <w:rFonts w:cstheme="minorHAnsi"/>
              </w:rPr>
              <w:t xml:space="preserve"> Increase public-private investments in early childhood and blend these investments with existing resources to maximize </w:t>
            </w:r>
            <w:r>
              <w:rPr>
                <w:rFonts w:cstheme="minorHAnsi"/>
              </w:rPr>
              <w:t>impact.</w:t>
            </w:r>
          </w:p>
          <w:p w:rsidR="00F43B4F" w:rsidRDefault="00F43B4F" w:rsidP="00F43B4F">
            <w:pPr>
              <w:rPr>
                <w:rFonts w:cstheme="minorHAnsi"/>
              </w:rPr>
            </w:pPr>
            <w:r w:rsidRPr="00557CA3">
              <w:rPr>
                <w:rFonts w:cstheme="minorHAnsi"/>
                <w:b/>
              </w:rPr>
              <w:t>Objective 3:</w:t>
            </w:r>
            <w:r w:rsidRPr="00557CA3">
              <w:rPr>
                <w:rFonts w:cstheme="minorHAnsi"/>
              </w:rPr>
              <w:t xml:space="preserve"> Promote policies and statutes that ensure a coordinated and responsive continuum of high quality services that support early learning, healthy children, and strong families. </w:t>
            </w:r>
          </w:p>
          <w:p w:rsidR="00F43B4F" w:rsidRDefault="00F43B4F" w:rsidP="00F43B4F">
            <w:pPr>
              <w:rPr>
                <w:rFonts w:cstheme="minorHAnsi"/>
              </w:rPr>
            </w:pPr>
            <w:r w:rsidRPr="00557CA3">
              <w:rPr>
                <w:rFonts w:cstheme="minorHAnsi"/>
                <w:b/>
              </w:rPr>
              <w:t xml:space="preserve">Objective </w:t>
            </w:r>
            <w:r>
              <w:rPr>
                <w:rFonts w:cstheme="minorHAnsi"/>
                <w:b/>
              </w:rPr>
              <w:t>4</w:t>
            </w:r>
            <w:r w:rsidRPr="00557CA3">
              <w:rPr>
                <w:rFonts w:cstheme="minorHAnsi"/>
                <w:b/>
              </w:rPr>
              <w:t>:</w:t>
            </w:r>
            <w:r w:rsidRPr="00557CA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C83B05">
              <w:rPr>
                <w:rFonts w:cstheme="minorHAnsi"/>
              </w:rPr>
              <w:t>Advocate for and support the development of an early childhood integrated data system to track child outcomes and improve the state’s capacity to manage the early childhood services system.</w:t>
            </w:r>
          </w:p>
          <w:p w:rsidR="00F43B4F" w:rsidRPr="00F43B4F" w:rsidRDefault="00F43B4F" w:rsidP="00A25764">
            <w:pPr>
              <w:rPr>
                <w:rFonts w:cstheme="minorHAnsi"/>
              </w:rPr>
            </w:pPr>
            <w:r w:rsidRPr="00557CA3">
              <w:rPr>
                <w:rFonts w:cstheme="minorHAnsi"/>
                <w:b/>
              </w:rPr>
              <w:t xml:space="preserve">Objective </w:t>
            </w:r>
            <w:r>
              <w:rPr>
                <w:rFonts w:cstheme="minorHAnsi"/>
                <w:b/>
              </w:rPr>
              <w:t>5</w:t>
            </w:r>
            <w:r w:rsidRPr="00557CA3">
              <w:rPr>
                <w:rFonts w:cstheme="minorHAnsi"/>
                <w:b/>
              </w:rPr>
              <w:t>:</w:t>
            </w:r>
            <w:r w:rsidRPr="00557CA3">
              <w:rPr>
                <w:rFonts w:cstheme="minorHAnsi"/>
              </w:rPr>
              <w:t xml:space="preserve"> </w:t>
            </w:r>
            <w:r w:rsidRPr="00290B44">
              <w:rPr>
                <w:rFonts w:cs="Gill Sans MT"/>
              </w:rPr>
              <w:t>Explore ways the state can promote and support community efforts to build coalitions, collect data, and implement effective strategies for early childhood system building that includes parents and families.</w:t>
            </w:r>
          </w:p>
        </w:tc>
      </w:tr>
      <w:tr w:rsidR="00C10849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Blue Ribbon Committee Alignment</w:t>
            </w:r>
          </w:p>
        </w:tc>
        <w:tc>
          <w:tcPr>
            <w:tcW w:w="7431" w:type="dxa"/>
          </w:tcPr>
          <w:p w:rsidR="00F43B4F" w:rsidRPr="00F43B4F" w:rsidRDefault="00F43B4F" w:rsidP="00F43B4F">
            <w:r w:rsidRPr="00F43B4F">
              <w:t xml:space="preserve">Expand the Prekindergarten Program </w:t>
            </w:r>
          </w:p>
          <w:p w:rsidR="00C10849" w:rsidRDefault="00F43B4F" w:rsidP="00F43B4F">
            <w:r w:rsidRPr="00F43B4F">
              <w:t>Conduct a cost study to validate the actual cost of a high-quality prekindergarten</w:t>
            </w:r>
          </w:p>
          <w:p w:rsidR="00F43B4F" w:rsidRDefault="00F43B4F" w:rsidP="00F43B4F">
            <w:r w:rsidRPr="00F43B4F">
              <w:t xml:space="preserve">Establish five Early Learning Regional Technical Assistance Centers </w:t>
            </w:r>
          </w:p>
          <w:p w:rsidR="00F43B4F" w:rsidRDefault="00F43B4F" w:rsidP="00F43B4F">
            <w:r w:rsidRPr="00F43B4F">
              <w:t>Adopt and implement a competency-based approach in pre-service teacher preparation programs and in-service professional development</w:t>
            </w:r>
          </w:p>
        </w:tc>
      </w:tr>
      <w:tr w:rsidR="00C10849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1000 Days of Medicaid</w:t>
            </w:r>
          </w:p>
        </w:tc>
        <w:tc>
          <w:tcPr>
            <w:tcW w:w="7431" w:type="dxa"/>
          </w:tcPr>
          <w:p w:rsidR="00F43B4F" w:rsidRPr="00F43B4F" w:rsidRDefault="00F43B4F" w:rsidP="00F43B4F">
            <w:r w:rsidRPr="00F43B4F">
              <w:t>Pilot and Evaluate Peer Family Navigators in Multiple Settings</w:t>
            </w:r>
          </w:p>
          <w:p w:rsidR="00C10849" w:rsidRDefault="00F43B4F" w:rsidP="00A25764">
            <w:r w:rsidRPr="00F43B4F">
              <w:t xml:space="preserve">Data System Development for Cross-Sector Referrals </w:t>
            </w:r>
          </w:p>
        </w:tc>
      </w:tr>
      <w:tr w:rsidR="00C10849" w:rsidTr="00A25764">
        <w:tc>
          <w:tcPr>
            <w:tcW w:w="1919" w:type="dxa"/>
          </w:tcPr>
          <w:p w:rsidR="00C10849" w:rsidRPr="00BA19C8" w:rsidRDefault="00C10849" w:rsidP="00A25764">
            <w:pPr>
              <w:rPr>
                <w:b/>
              </w:rPr>
            </w:pPr>
            <w:r w:rsidRPr="00BA19C8">
              <w:rPr>
                <w:b/>
              </w:rPr>
              <w:t>CCDF</w:t>
            </w:r>
          </w:p>
        </w:tc>
        <w:tc>
          <w:tcPr>
            <w:tcW w:w="7431" w:type="dxa"/>
          </w:tcPr>
          <w:p w:rsidR="00C10849" w:rsidRDefault="002A26F0" w:rsidP="00A25764">
            <w:r>
              <w:t>7 – Support Continuous Quality Improvement</w:t>
            </w:r>
          </w:p>
          <w:p w:rsidR="002A26F0" w:rsidRDefault="002A26F0" w:rsidP="00A25764">
            <w:r>
              <w:t>8 – Ensure Grantee Program Integrity and Accountability</w:t>
            </w:r>
          </w:p>
        </w:tc>
      </w:tr>
    </w:tbl>
    <w:p w:rsidR="00C10849" w:rsidRDefault="00C10849"/>
    <w:sectPr w:rsidR="00C10849" w:rsidSect="00D979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731" w:rsidRDefault="00073731" w:rsidP="002F7880">
      <w:r>
        <w:separator/>
      </w:r>
    </w:p>
  </w:endnote>
  <w:endnote w:type="continuationSeparator" w:id="0">
    <w:p w:rsidR="00073731" w:rsidRDefault="00073731" w:rsidP="002F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731" w:rsidRDefault="00073731" w:rsidP="002F7880">
      <w:r>
        <w:separator/>
      </w:r>
    </w:p>
  </w:footnote>
  <w:footnote w:type="continuationSeparator" w:id="0">
    <w:p w:rsidR="00073731" w:rsidRDefault="00073731" w:rsidP="002F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880" w:rsidRPr="002F7880" w:rsidRDefault="002F7880" w:rsidP="002F7880">
    <w:pPr>
      <w:pStyle w:val="Header"/>
      <w:jc w:val="center"/>
      <w:rPr>
        <w:sz w:val="32"/>
      </w:rPr>
    </w:pPr>
    <w:r w:rsidRPr="002F7880">
      <w:rPr>
        <w:b/>
        <w:sz w:val="32"/>
      </w:rPr>
      <w:t>NAM Workgroup Recommendations (June 2018)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C8"/>
    <w:rsid w:val="00073731"/>
    <w:rsid w:val="00253E55"/>
    <w:rsid w:val="00255FE9"/>
    <w:rsid w:val="002A26F0"/>
    <w:rsid w:val="002F7880"/>
    <w:rsid w:val="00364C75"/>
    <w:rsid w:val="003D7E4A"/>
    <w:rsid w:val="003F46DE"/>
    <w:rsid w:val="00B93B56"/>
    <w:rsid w:val="00BA19C8"/>
    <w:rsid w:val="00BB1DE3"/>
    <w:rsid w:val="00BD7E3C"/>
    <w:rsid w:val="00C10849"/>
    <w:rsid w:val="00D979DD"/>
    <w:rsid w:val="00DA7036"/>
    <w:rsid w:val="00F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3B4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F7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880"/>
  </w:style>
  <w:style w:type="paragraph" w:styleId="Footer">
    <w:name w:val="footer"/>
    <w:basedOn w:val="Normal"/>
    <w:link w:val="FooterChar"/>
    <w:uiPriority w:val="99"/>
    <w:unhideWhenUsed/>
    <w:rsid w:val="002F7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 New York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Krupski</cp:lastModifiedBy>
  <cp:revision>2</cp:revision>
  <dcterms:created xsi:type="dcterms:W3CDTF">2019-02-01T04:12:00Z</dcterms:created>
  <dcterms:modified xsi:type="dcterms:W3CDTF">2019-02-01T04:12:00Z</dcterms:modified>
</cp:coreProperties>
</file>