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E537770" w14:textId="77777777" w:rsidR="00F1162C" w:rsidRPr="00F1162C" w:rsidRDefault="00F1162C" w:rsidP="00F1162C">
      <w:pPr>
        <w:rPr>
          <w:sz w:val="22"/>
          <w:szCs w:val="22"/>
        </w:rPr>
      </w:pPr>
      <w:r w:rsidRPr="00F1162C">
        <w:rPr>
          <w:sz w:val="22"/>
          <w:szCs w:val="22"/>
        </w:rPr>
        <w:t>This 60-minute interactive virtual training from the New York State Mentoring Program (NYSMP) is designed to equip mentoring coordinators with the knowledge and skills to effectively support mentees’ mental health and well-being. The training focuses on destigmatizing mental health, clarifying the mentor’s role within a Tiered System of Support, identifying early warning signs, and utilizing appropriate collaborative problem-solving strategies and NYSMP activities for early intervention.</w:t>
      </w:r>
    </w:p>
    <w:p w14:paraId="5319D6DB" w14:textId="3BE3D3BB" w:rsidR="00F1162C" w:rsidRPr="00F1162C" w:rsidRDefault="00F1162C" w:rsidP="00F1162C">
      <w:pPr>
        <w:rPr>
          <w:b/>
          <w:bCs/>
          <w:sz w:val="22"/>
          <w:szCs w:val="22"/>
        </w:rPr>
      </w:pPr>
      <w:r w:rsidRPr="00F1162C">
        <w:rPr>
          <w:b/>
          <w:bCs/>
          <w:sz w:val="22"/>
          <w:szCs w:val="22"/>
        </w:rPr>
        <w:t>Learning Objectives</w:t>
      </w:r>
      <w:r w:rsidRPr="00F1162C">
        <w:rPr>
          <w:b/>
          <w:bCs/>
          <w:sz w:val="22"/>
          <w:szCs w:val="22"/>
        </w:rPr>
        <w:t>:</w:t>
      </w:r>
    </w:p>
    <w:p w14:paraId="2154813A" w14:textId="77777777" w:rsidR="00F1162C" w:rsidRPr="00F1162C" w:rsidRDefault="00F1162C" w:rsidP="00F1162C">
      <w:pPr>
        <w:pStyle w:val="ListParagraph"/>
        <w:numPr>
          <w:ilvl w:val="0"/>
          <w:numId w:val="1"/>
        </w:numPr>
        <w:rPr>
          <w:sz w:val="22"/>
          <w:szCs w:val="22"/>
        </w:rPr>
      </w:pPr>
      <w:r w:rsidRPr="00F1162C">
        <w:rPr>
          <w:sz w:val="22"/>
          <w:szCs w:val="22"/>
        </w:rPr>
        <w:t>Distinguish between mental health and mental well-being and understand their relevance in a mentoring context.</w:t>
      </w:r>
    </w:p>
    <w:p w14:paraId="41EE569A" w14:textId="77777777" w:rsidR="00F1162C" w:rsidRPr="00F1162C" w:rsidRDefault="00F1162C" w:rsidP="00F1162C">
      <w:pPr>
        <w:pStyle w:val="ListParagraph"/>
        <w:numPr>
          <w:ilvl w:val="0"/>
          <w:numId w:val="1"/>
        </w:numPr>
        <w:rPr>
          <w:sz w:val="22"/>
          <w:szCs w:val="22"/>
        </w:rPr>
      </w:pPr>
      <w:r w:rsidRPr="00F1162C">
        <w:rPr>
          <w:sz w:val="22"/>
          <w:szCs w:val="22"/>
        </w:rPr>
        <w:t>Identify early warning signs of changes in mentee behavior.</w:t>
      </w:r>
    </w:p>
    <w:p w14:paraId="6F7D2530" w14:textId="77777777" w:rsidR="00F1162C" w:rsidRPr="00F1162C" w:rsidRDefault="00F1162C" w:rsidP="00F1162C">
      <w:pPr>
        <w:pStyle w:val="ListParagraph"/>
        <w:numPr>
          <w:ilvl w:val="0"/>
          <w:numId w:val="1"/>
        </w:numPr>
        <w:rPr>
          <w:sz w:val="22"/>
          <w:szCs w:val="22"/>
        </w:rPr>
      </w:pPr>
      <w:r w:rsidRPr="00F1162C">
        <w:rPr>
          <w:sz w:val="22"/>
          <w:szCs w:val="22"/>
        </w:rPr>
        <w:t xml:space="preserve">Define the mentor’s appropriate role I early intervention, balancing relationship building with providing support. </w:t>
      </w:r>
    </w:p>
    <w:p w14:paraId="2F089B13" w14:textId="77777777" w:rsidR="00F1162C" w:rsidRPr="00F1162C" w:rsidRDefault="00F1162C" w:rsidP="00F1162C">
      <w:pPr>
        <w:pStyle w:val="ListParagraph"/>
        <w:numPr>
          <w:ilvl w:val="0"/>
          <w:numId w:val="1"/>
        </w:numPr>
        <w:rPr>
          <w:sz w:val="22"/>
          <w:szCs w:val="22"/>
        </w:rPr>
      </w:pPr>
      <w:r w:rsidRPr="00F1162C">
        <w:rPr>
          <w:sz w:val="22"/>
          <w:szCs w:val="22"/>
        </w:rPr>
        <w:t>Apply collaborative problem-solving themes and NYSMP resources to promote positive mentee well-being</w:t>
      </w:r>
    </w:p>
    <w:p w14:paraId="7831EC75" w14:textId="2E3E7923" w:rsidR="00F1162C" w:rsidRPr="00F1162C" w:rsidRDefault="00F1162C" w:rsidP="00F1162C">
      <w:pPr>
        <w:rPr>
          <w:b/>
          <w:bCs/>
          <w:sz w:val="22"/>
          <w:szCs w:val="22"/>
        </w:rPr>
      </w:pPr>
      <w:r w:rsidRPr="00F1162C">
        <w:rPr>
          <w:b/>
          <w:bCs/>
          <w:sz w:val="22"/>
          <w:szCs w:val="22"/>
        </w:rPr>
        <w:t>Training Outline</w:t>
      </w:r>
      <w:r w:rsidRPr="00F1162C">
        <w:rPr>
          <w:b/>
          <w:bCs/>
          <w:sz w:val="22"/>
          <w:szCs w:val="22"/>
        </w:rPr>
        <w:t>:</w:t>
      </w:r>
    </w:p>
    <w:p w14:paraId="2E494C6D" w14:textId="77777777" w:rsidR="00F1162C" w:rsidRPr="00F1162C" w:rsidRDefault="00F1162C" w:rsidP="00F1162C">
      <w:pPr>
        <w:pStyle w:val="ListParagraph"/>
        <w:numPr>
          <w:ilvl w:val="0"/>
          <w:numId w:val="3"/>
        </w:numPr>
        <w:rPr>
          <w:b/>
          <w:bCs/>
          <w:sz w:val="22"/>
          <w:szCs w:val="22"/>
        </w:rPr>
      </w:pPr>
      <w:r w:rsidRPr="00F1162C">
        <w:rPr>
          <w:b/>
          <w:bCs/>
          <w:sz w:val="22"/>
          <w:szCs w:val="22"/>
        </w:rPr>
        <w:t>Introduction &amp; Foundation</w:t>
      </w:r>
    </w:p>
    <w:p w14:paraId="4D05B841" w14:textId="77777777" w:rsidR="00F1162C" w:rsidRPr="00F1162C" w:rsidRDefault="00F1162C" w:rsidP="00F1162C">
      <w:pPr>
        <w:pStyle w:val="ListParagraph"/>
        <w:numPr>
          <w:ilvl w:val="1"/>
          <w:numId w:val="3"/>
        </w:numPr>
        <w:rPr>
          <w:sz w:val="22"/>
          <w:szCs w:val="22"/>
        </w:rPr>
      </w:pPr>
      <w:r w:rsidRPr="00F1162C">
        <w:rPr>
          <w:sz w:val="22"/>
          <w:szCs w:val="22"/>
        </w:rPr>
        <w:t xml:space="preserve">Training Agenda and Objectives </w:t>
      </w:r>
    </w:p>
    <w:p w14:paraId="6F7A7A77" w14:textId="77777777" w:rsidR="00F1162C" w:rsidRDefault="00F1162C" w:rsidP="00F1162C">
      <w:pPr>
        <w:pStyle w:val="ListParagraph"/>
        <w:numPr>
          <w:ilvl w:val="1"/>
          <w:numId w:val="3"/>
        </w:numPr>
        <w:rPr>
          <w:sz w:val="22"/>
          <w:szCs w:val="22"/>
        </w:rPr>
      </w:pPr>
      <w:r w:rsidRPr="00F1162C">
        <w:rPr>
          <w:sz w:val="22"/>
          <w:szCs w:val="22"/>
        </w:rPr>
        <w:t>Introducing the Topic</w:t>
      </w:r>
    </w:p>
    <w:p w14:paraId="68A9E5F5" w14:textId="77777777" w:rsidR="00F1162C" w:rsidRPr="00F1162C" w:rsidRDefault="00F1162C" w:rsidP="00F1162C">
      <w:pPr>
        <w:pStyle w:val="ListParagraph"/>
        <w:ind w:left="1440"/>
        <w:rPr>
          <w:sz w:val="22"/>
          <w:szCs w:val="22"/>
        </w:rPr>
      </w:pPr>
    </w:p>
    <w:p w14:paraId="48B913CD" w14:textId="77777777" w:rsidR="00F1162C" w:rsidRPr="00F1162C" w:rsidRDefault="00F1162C" w:rsidP="00F1162C">
      <w:pPr>
        <w:pStyle w:val="ListParagraph"/>
        <w:numPr>
          <w:ilvl w:val="0"/>
          <w:numId w:val="3"/>
        </w:numPr>
        <w:rPr>
          <w:b/>
          <w:bCs/>
          <w:sz w:val="22"/>
          <w:szCs w:val="22"/>
        </w:rPr>
      </w:pPr>
      <w:r w:rsidRPr="00F1162C">
        <w:rPr>
          <w:b/>
          <w:bCs/>
          <w:sz w:val="22"/>
          <w:szCs w:val="22"/>
        </w:rPr>
        <w:t>Exploring Mental Health &amp; Support Systems</w:t>
      </w:r>
    </w:p>
    <w:p w14:paraId="7F3980F3" w14:textId="77777777" w:rsidR="00F1162C" w:rsidRPr="00F1162C" w:rsidRDefault="00F1162C" w:rsidP="00F1162C">
      <w:pPr>
        <w:pStyle w:val="ListParagraph"/>
        <w:numPr>
          <w:ilvl w:val="1"/>
          <w:numId w:val="3"/>
        </w:numPr>
        <w:rPr>
          <w:sz w:val="22"/>
          <w:szCs w:val="22"/>
        </w:rPr>
      </w:pPr>
      <w:r w:rsidRPr="00F1162C">
        <w:rPr>
          <w:sz w:val="22"/>
          <w:szCs w:val="22"/>
        </w:rPr>
        <w:t>Mental Health vs. Mental Well-being</w:t>
      </w:r>
    </w:p>
    <w:p w14:paraId="5C14F68B" w14:textId="77777777" w:rsidR="00F1162C" w:rsidRDefault="00F1162C" w:rsidP="00F1162C">
      <w:pPr>
        <w:pStyle w:val="ListParagraph"/>
        <w:numPr>
          <w:ilvl w:val="1"/>
          <w:numId w:val="3"/>
        </w:numPr>
        <w:rPr>
          <w:sz w:val="22"/>
          <w:szCs w:val="22"/>
        </w:rPr>
      </w:pPr>
      <w:r w:rsidRPr="00F1162C">
        <w:rPr>
          <w:sz w:val="22"/>
          <w:szCs w:val="22"/>
        </w:rPr>
        <w:t>Understanding a Tiered System of Support (TSS)</w:t>
      </w:r>
    </w:p>
    <w:p w14:paraId="4F96BB09" w14:textId="77777777" w:rsidR="00F1162C" w:rsidRPr="00F1162C" w:rsidRDefault="00F1162C" w:rsidP="00F1162C">
      <w:pPr>
        <w:pStyle w:val="ListParagraph"/>
        <w:ind w:left="1440"/>
        <w:rPr>
          <w:sz w:val="22"/>
          <w:szCs w:val="22"/>
        </w:rPr>
      </w:pPr>
    </w:p>
    <w:p w14:paraId="2B430D89" w14:textId="77777777" w:rsidR="00F1162C" w:rsidRPr="00F1162C" w:rsidRDefault="00F1162C" w:rsidP="00F1162C">
      <w:pPr>
        <w:pStyle w:val="ListParagraph"/>
        <w:numPr>
          <w:ilvl w:val="0"/>
          <w:numId w:val="3"/>
        </w:numPr>
        <w:rPr>
          <w:b/>
          <w:bCs/>
          <w:sz w:val="22"/>
          <w:szCs w:val="22"/>
        </w:rPr>
      </w:pPr>
      <w:r w:rsidRPr="00F1162C">
        <w:rPr>
          <w:b/>
          <w:bCs/>
          <w:sz w:val="22"/>
          <w:szCs w:val="22"/>
        </w:rPr>
        <w:t>Early Intervention and the Mentor’s Role</w:t>
      </w:r>
    </w:p>
    <w:p w14:paraId="466B0ED8" w14:textId="77777777" w:rsidR="00F1162C" w:rsidRPr="00F1162C" w:rsidRDefault="00F1162C" w:rsidP="00F1162C">
      <w:pPr>
        <w:pStyle w:val="ListParagraph"/>
        <w:numPr>
          <w:ilvl w:val="1"/>
          <w:numId w:val="3"/>
        </w:numPr>
        <w:rPr>
          <w:sz w:val="22"/>
          <w:szCs w:val="22"/>
        </w:rPr>
      </w:pPr>
      <w:r w:rsidRPr="00F1162C">
        <w:rPr>
          <w:sz w:val="22"/>
          <w:szCs w:val="22"/>
        </w:rPr>
        <w:t>Recognizing Changes in Behavior (Early Warning Signs)</w:t>
      </w:r>
    </w:p>
    <w:p w14:paraId="142558A7" w14:textId="77777777" w:rsidR="00F1162C" w:rsidRPr="00F1162C" w:rsidRDefault="00F1162C" w:rsidP="00F1162C">
      <w:pPr>
        <w:pStyle w:val="ListParagraph"/>
        <w:numPr>
          <w:ilvl w:val="1"/>
          <w:numId w:val="3"/>
        </w:numPr>
        <w:rPr>
          <w:sz w:val="22"/>
          <w:szCs w:val="22"/>
        </w:rPr>
      </w:pPr>
      <w:r w:rsidRPr="00F1162C">
        <w:rPr>
          <w:sz w:val="22"/>
          <w:szCs w:val="22"/>
        </w:rPr>
        <w:t>Balancing Support vs. The Desire to “Fix”</w:t>
      </w:r>
    </w:p>
    <w:p w14:paraId="77C6AC85" w14:textId="77777777" w:rsidR="00F1162C" w:rsidRDefault="00F1162C" w:rsidP="00F1162C">
      <w:pPr>
        <w:pStyle w:val="ListParagraph"/>
        <w:numPr>
          <w:ilvl w:val="1"/>
          <w:numId w:val="3"/>
        </w:numPr>
        <w:rPr>
          <w:sz w:val="22"/>
          <w:szCs w:val="22"/>
        </w:rPr>
      </w:pPr>
      <w:r w:rsidRPr="00F1162C">
        <w:rPr>
          <w:sz w:val="22"/>
          <w:szCs w:val="22"/>
        </w:rPr>
        <w:t>Mentor’s Role in Early Intervention Strategies</w:t>
      </w:r>
    </w:p>
    <w:p w14:paraId="54E8A135" w14:textId="77777777" w:rsidR="00F1162C" w:rsidRPr="00F1162C" w:rsidRDefault="00F1162C" w:rsidP="00F1162C">
      <w:pPr>
        <w:pStyle w:val="ListParagraph"/>
        <w:ind w:left="1440"/>
        <w:rPr>
          <w:sz w:val="22"/>
          <w:szCs w:val="22"/>
        </w:rPr>
      </w:pPr>
    </w:p>
    <w:p w14:paraId="1BD570D1" w14:textId="77777777" w:rsidR="00F1162C" w:rsidRPr="00F1162C" w:rsidRDefault="00F1162C" w:rsidP="00F1162C">
      <w:pPr>
        <w:pStyle w:val="ListParagraph"/>
        <w:numPr>
          <w:ilvl w:val="0"/>
          <w:numId w:val="3"/>
        </w:numPr>
        <w:rPr>
          <w:b/>
          <w:bCs/>
          <w:sz w:val="22"/>
          <w:szCs w:val="22"/>
        </w:rPr>
      </w:pPr>
      <w:r w:rsidRPr="00F1162C">
        <w:rPr>
          <w:b/>
          <w:bCs/>
          <w:sz w:val="22"/>
          <w:szCs w:val="22"/>
        </w:rPr>
        <w:t>Resources and Best Practices</w:t>
      </w:r>
    </w:p>
    <w:p w14:paraId="6655B733" w14:textId="77777777" w:rsidR="00F1162C" w:rsidRDefault="00F1162C" w:rsidP="00F1162C">
      <w:pPr>
        <w:pStyle w:val="ListParagraph"/>
        <w:numPr>
          <w:ilvl w:val="1"/>
          <w:numId w:val="3"/>
        </w:numPr>
        <w:rPr>
          <w:sz w:val="22"/>
          <w:szCs w:val="22"/>
        </w:rPr>
      </w:pPr>
      <w:r w:rsidRPr="00F1162C">
        <w:rPr>
          <w:sz w:val="22"/>
          <w:szCs w:val="22"/>
        </w:rPr>
        <w:t>Collaborative Problem-Solving Themes &amp; Activities</w:t>
      </w:r>
    </w:p>
    <w:p w14:paraId="69C142E7" w14:textId="22D9173F" w:rsidR="00F1162C" w:rsidRPr="00F1162C" w:rsidRDefault="00F1162C" w:rsidP="00F1162C">
      <w:pPr>
        <w:pStyle w:val="ListParagraph"/>
        <w:numPr>
          <w:ilvl w:val="1"/>
          <w:numId w:val="3"/>
        </w:numPr>
        <w:rPr>
          <w:sz w:val="22"/>
          <w:szCs w:val="22"/>
        </w:rPr>
      </w:pPr>
      <w:r>
        <w:rPr>
          <w:sz w:val="22"/>
          <w:szCs w:val="22"/>
        </w:rPr>
        <w:t>Utilizing NYSMP Modules and Activities</w:t>
      </w:r>
    </w:p>
    <w:p w14:paraId="0161FEFD" w14:textId="77777777" w:rsidR="00F1162C" w:rsidRDefault="00F1162C" w:rsidP="00F1162C">
      <w:pPr>
        <w:pStyle w:val="ListParagraph"/>
        <w:numPr>
          <w:ilvl w:val="1"/>
          <w:numId w:val="3"/>
        </w:numPr>
        <w:rPr>
          <w:sz w:val="22"/>
          <w:szCs w:val="22"/>
        </w:rPr>
      </w:pPr>
      <w:r w:rsidRPr="00F1162C">
        <w:rPr>
          <w:sz w:val="22"/>
          <w:szCs w:val="22"/>
        </w:rPr>
        <w:t>Reviewing Best Practices</w:t>
      </w:r>
    </w:p>
    <w:p w14:paraId="0F01A0E1" w14:textId="77777777" w:rsidR="00F1162C" w:rsidRPr="00F1162C" w:rsidRDefault="00F1162C" w:rsidP="00F1162C">
      <w:pPr>
        <w:pStyle w:val="ListParagraph"/>
        <w:ind w:left="1440"/>
        <w:rPr>
          <w:sz w:val="22"/>
          <w:szCs w:val="22"/>
        </w:rPr>
      </w:pPr>
    </w:p>
    <w:p w14:paraId="277FF31F" w14:textId="77777777" w:rsidR="00F1162C" w:rsidRPr="00F1162C" w:rsidRDefault="00F1162C" w:rsidP="00F1162C">
      <w:pPr>
        <w:pStyle w:val="ListParagraph"/>
        <w:numPr>
          <w:ilvl w:val="0"/>
          <w:numId w:val="3"/>
        </w:numPr>
        <w:rPr>
          <w:b/>
          <w:bCs/>
          <w:sz w:val="22"/>
          <w:szCs w:val="22"/>
        </w:rPr>
      </w:pPr>
      <w:r w:rsidRPr="00F1162C">
        <w:rPr>
          <w:b/>
          <w:bCs/>
          <w:sz w:val="22"/>
          <w:szCs w:val="22"/>
        </w:rPr>
        <w:t>Closing</w:t>
      </w:r>
    </w:p>
    <w:p w14:paraId="729EC37A" w14:textId="77777777" w:rsidR="00F1162C" w:rsidRPr="00F1162C" w:rsidRDefault="00F1162C" w:rsidP="00F1162C">
      <w:pPr>
        <w:pStyle w:val="ListParagraph"/>
        <w:numPr>
          <w:ilvl w:val="1"/>
          <w:numId w:val="3"/>
        </w:numPr>
        <w:rPr>
          <w:sz w:val="22"/>
          <w:szCs w:val="22"/>
        </w:rPr>
      </w:pPr>
      <w:r w:rsidRPr="00F1162C">
        <w:rPr>
          <w:sz w:val="22"/>
          <w:szCs w:val="22"/>
        </w:rPr>
        <w:t>Key Takeaways</w:t>
      </w:r>
    </w:p>
    <w:p w14:paraId="4FBE1525" w14:textId="77777777" w:rsidR="00F1162C" w:rsidRPr="00F1162C" w:rsidRDefault="00F1162C" w:rsidP="00F1162C">
      <w:pPr>
        <w:pStyle w:val="ListParagraph"/>
        <w:numPr>
          <w:ilvl w:val="1"/>
          <w:numId w:val="3"/>
        </w:numPr>
        <w:rPr>
          <w:sz w:val="22"/>
          <w:szCs w:val="22"/>
        </w:rPr>
      </w:pPr>
      <w:r w:rsidRPr="00F1162C">
        <w:rPr>
          <w:sz w:val="22"/>
          <w:szCs w:val="22"/>
        </w:rPr>
        <w:t>Questions and Feedback</w:t>
      </w:r>
    </w:p>
    <w:p w14:paraId="7E7AD8B1" w14:textId="77777777" w:rsidR="00FF3C23" w:rsidRDefault="00FF3C23"/>
    <w:sectPr w:rsidR="00FF3C23">
      <w:headerReference w:type="even" r:id="rId8"/>
      <w:headerReference w:type="default" r:id="rId9"/>
      <w:footerReference w:type="even" r:id="rId10"/>
      <w:footerReference w:type="default" r:id="rId11"/>
      <w:headerReference w:type="first" r:id="rId12"/>
      <w:footerReference w:type="firs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D0D9A08" w14:textId="77777777" w:rsidR="00F54E42" w:rsidRDefault="00F54E42" w:rsidP="00F1162C">
      <w:pPr>
        <w:spacing w:after="0" w:line="240" w:lineRule="auto"/>
      </w:pPr>
      <w:r>
        <w:separator/>
      </w:r>
    </w:p>
  </w:endnote>
  <w:endnote w:type="continuationSeparator" w:id="0">
    <w:p w14:paraId="2E058348" w14:textId="77777777" w:rsidR="00F54E42" w:rsidRDefault="00F54E42" w:rsidP="00F1162C">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EF065F" w14:textId="77777777" w:rsidR="00D251AD" w:rsidRDefault="00D251AD">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988DDC" w14:textId="413E66FC" w:rsidR="00B45580" w:rsidRPr="00B45580" w:rsidRDefault="00B45580">
    <w:pPr>
      <w:pStyle w:val="Footer"/>
      <w:rPr>
        <w:sz w:val="18"/>
        <w:szCs w:val="18"/>
      </w:rPr>
    </w:pPr>
    <w:r w:rsidRPr="00B45580">
      <w:rPr>
        <w:sz w:val="18"/>
        <w:szCs w:val="18"/>
      </w:rPr>
      <w:t xml:space="preserve">NYSMP </w:t>
    </w:r>
    <w:r w:rsidR="001D0558">
      <w:rPr>
        <w:sz w:val="18"/>
        <w:szCs w:val="18"/>
      </w:rPr>
      <w:t xml:space="preserve">PD </w:t>
    </w:r>
    <w:r w:rsidRPr="00B45580">
      <w:rPr>
        <w:sz w:val="18"/>
        <w:szCs w:val="18"/>
      </w:rPr>
      <w:t>WORKSHOP SERIES: January 28</w:t>
    </w:r>
    <w:r w:rsidRPr="00B45580">
      <w:rPr>
        <w:sz w:val="18"/>
        <w:szCs w:val="18"/>
        <w:vertAlign w:val="superscript"/>
      </w:rPr>
      <w:t>th</w:t>
    </w:r>
    <w:r>
      <w:rPr>
        <w:sz w:val="18"/>
        <w:szCs w:val="18"/>
      </w:rPr>
      <w:t xml:space="preserve">, </w:t>
    </w:r>
    <w:r w:rsidRPr="00B45580">
      <w:rPr>
        <w:sz w:val="18"/>
        <w:szCs w:val="18"/>
      </w:rPr>
      <w:t>2026</w:t>
    </w:r>
    <w:r>
      <w:rPr>
        <w:sz w:val="18"/>
        <w:szCs w:val="18"/>
      </w:rPr>
      <w:t>,</w:t>
    </w:r>
    <w:r w:rsidRPr="00B45580">
      <w:rPr>
        <w:sz w:val="18"/>
        <w:szCs w:val="18"/>
      </w:rPr>
      <w:t xml:space="preserve"> 10am-11am</w:t>
    </w:r>
    <w:r>
      <w:rPr>
        <w:sz w:val="18"/>
        <w:szCs w:val="18"/>
      </w:rPr>
      <w:t xml:space="preserve"> </w:t>
    </w:r>
    <w:hyperlink r:id="rId1" w:history="1">
      <w:r w:rsidRPr="003D017D">
        <w:rPr>
          <w:rStyle w:val="Hyperlink"/>
          <w:sz w:val="18"/>
          <w:szCs w:val="18"/>
        </w:rPr>
        <w:t>https://us06web.zoom.us/meeting/register/BxOHF3S2QDWGTUHYw8K2AA</w:t>
      </w:r>
    </w:hyperlink>
    <w:r>
      <w:rPr>
        <w:sz w:val="18"/>
        <w:szCs w:val="18"/>
      </w:rPr>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605EE8" w14:textId="77777777" w:rsidR="00D251AD" w:rsidRDefault="00D251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1F99951" w14:textId="77777777" w:rsidR="00F54E42" w:rsidRDefault="00F54E42" w:rsidP="00F1162C">
      <w:pPr>
        <w:spacing w:after="0" w:line="240" w:lineRule="auto"/>
      </w:pPr>
      <w:r>
        <w:separator/>
      </w:r>
    </w:p>
  </w:footnote>
  <w:footnote w:type="continuationSeparator" w:id="0">
    <w:p w14:paraId="1C299721" w14:textId="77777777" w:rsidR="00F54E42" w:rsidRDefault="00F54E42" w:rsidP="00F1162C">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88A2B1" w14:textId="77777777" w:rsidR="00D251AD" w:rsidRDefault="00D251AD">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40FADC" w14:textId="6948B7A6" w:rsidR="00F1162C" w:rsidRPr="00F1162C" w:rsidRDefault="00F1162C" w:rsidP="00F1162C">
    <w:pPr>
      <w:ind w:left="1260" w:hanging="1260"/>
      <w:rPr>
        <w:b/>
        <w:bCs/>
        <w:sz w:val="32"/>
        <w:szCs w:val="32"/>
      </w:rPr>
    </w:pPr>
    <w:r w:rsidRPr="00F1162C">
      <w:rPr>
        <w:b/>
        <w:bCs/>
        <w:noProof/>
        <w:color w:val="7030A0"/>
        <w:sz w:val="32"/>
        <w:szCs w:val="32"/>
      </w:rPr>
      <w:drawing>
        <wp:anchor distT="0" distB="0" distL="114300" distR="114300" simplePos="0" relativeHeight="251658240" behindDoc="0" locked="0" layoutInCell="1" allowOverlap="1" wp14:anchorId="09532ACE" wp14:editId="09E5470F">
          <wp:simplePos x="0" y="0"/>
          <wp:positionH relativeFrom="column">
            <wp:posOffset>-228600</wp:posOffset>
          </wp:positionH>
          <wp:positionV relativeFrom="paragraph">
            <wp:posOffset>47625</wp:posOffset>
          </wp:positionV>
          <wp:extent cx="933450" cy="241935"/>
          <wp:effectExtent l="0" t="0" r="0" b="5715"/>
          <wp:wrapThrough wrapText="bothSides">
            <wp:wrapPolygon edited="0">
              <wp:start x="2645" y="0"/>
              <wp:lineTo x="0" y="6803"/>
              <wp:lineTo x="0" y="17008"/>
              <wp:lineTo x="3967" y="20409"/>
              <wp:lineTo x="15429" y="20409"/>
              <wp:lineTo x="21159" y="17008"/>
              <wp:lineTo x="21159" y="1701"/>
              <wp:lineTo x="11020" y="0"/>
              <wp:lineTo x="2645" y="0"/>
            </wp:wrapPolygon>
          </wp:wrapThrough>
          <wp:docPr id="630802022" name="Picture 1" descr="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30802022" name="Picture 1" descr="Tex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933450" cy="241935"/>
                  </a:xfrm>
                  <a:prstGeom prst="rect">
                    <a:avLst/>
                  </a:prstGeom>
                </pic:spPr>
              </pic:pic>
            </a:graphicData>
          </a:graphic>
        </wp:anchor>
      </w:drawing>
    </w:r>
    <w:r w:rsidRPr="00F1162C">
      <w:rPr>
        <w:b/>
        <w:bCs/>
        <w:color w:val="7030A0"/>
        <w:sz w:val="32"/>
        <w:szCs w:val="32"/>
      </w:rPr>
      <w:t>Making the Connection: Mentoring, Mental Health, and Well-being</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30BFDE" w14:textId="77777777" w:rsidR="00D251AD" w:rsidRDefault="00D251A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6A2665"/>
    <w:multiLevelType w:val="hybridMultilevel"/>
    <w:tmpl w:val="54105698"/>
    <w:lvl w:ilvl="0" w:tplc="04090013">
      <w:start w:val="1"/>
      <w:numFmt w:val="upperRoman"/>
      <w:lvlText w:val="%1."/>
      <w:lvlJc w:val="right"/>
      <w:pPr>
        <w:ind w:left="720" w:hanging="360"/>
      </w:pPr>
    </w:lvl>
    <w:lvl w:ilvl="1" w:tplc="FFFFFFFF">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459B0B01"/>
    <w:multiLevelType w:val="hybridMultilevel"/>
    <w:tmpl w:val="D0D4EB1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708F7002"/>
    <w:multiLevelType w:val="hybridMultilevel"/>
    <w:tmpl w:val="B20883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414472388">
    <w:abstractNumId w:val="2"/>
  </w:num>
  <w:num w:numId="2" w16cid:durableId="531039680">
    <w:abstractNumId w:val="1"/>
  </w:num>
  <w:num w:numId="3" w16cid:durableId="54691986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162C"/>
    <w:rsid w:val="001D0558"/>
    <w:rsid w:val="00513560"/>
    <w:rsid w:val="009715C8"/>
    <w:rsid w:val="00B45580"/>
    <w:rsid w:val="00D251AD"/>
    <w:rsid w:val="00F1162C"/>
    <w:rsid w:val="00F54E42"/>
    <w:rsid w:val="00FF3C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91C0B0E"/>
  <w15:chartTrackingRefBased/>
  <w15:docId w15:val="{730DF372-E559-4ACF-949E-FD041576F39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1162C"/>
  </w:style>
  <w:style w:type="paragraph" w:styleId="Heading1">
    <w:name w:val="heading 1"/>
    <w:basedOn w:val="Normal"/>
    <w:next w:val="Normal"/>
    <w:link w:val="Heading1Char"/>
    <w:uiPriority w:val="9"/>
    <w:qFormat/>
    <w:rsid w:val="00F1162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F1162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F1162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F1162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1162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1162C"/>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1162C"/>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1162C"/>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1162C"/>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1162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F1162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F1162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F1162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1162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1162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1162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1162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1162C"/>
    <w:rPr>
      <w:rFonts w:eastAsiaTheme="majorEastAsia" w:cstheme="majorBidi"/>
      <w:color w:val="272727" w:themeColor="text1" w:themeTint="D8"/>
    </w:rPr>
  </w:style>
  <w:style w:type="paragraph" w:styleId="Title">
    <w:name w:val="Title"/>
    <w:basedOn w:val="Normal"/>
    <w:next w:val="Normal"/>
    <w:link w:val="TitleChar"/>
    <w:uiPriority w:val="10"/>
    <w:qFormat/>
    <w:rsid w:val="00F1162C"/>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1162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1162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1162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1162C"/>
    <w:pPr>
      <w:spacing w:before="160"/>
      <w:jc w:val="center"/>
    </w:pPr>
    <w:rPr>
      <w:i/>
      <w:iCs/>
      <w:color w:val="404040" w:themeColor="text1" w:themeTint="BF"/>
    </w:rPr>
  </w:style>
  <w:style w:type="character" w:customStyle="1" w:styleId="QuoteChar">
    <w:name w:val="Quote Char"/>
    <w:basedOn w:val="DefaultParagraphFont"/>
    <w:link w:val="Quote"/>
    <w:uiPriority w:val="29"/>
    <w:rsid w:val="00F1162C"/>
    <w:rPr>
      <w:i/>
      <w:iCs/>
      <w:color w:val="404040" w:themeColor="text1" w:themeTint="BF"/>
    </w:rPr>
  </w:style>
  <w:style w:type="paragraph" w:styleId="ListParagraph">
    <w:name w:val="List Paragraph"/>
    <w:basedOn w:val="Normal"/>
    <w:uiPriority w:val="34"/>
    <w:qFormat/>
    <w:rsid w:val="00F1162C"/>
    <w:pPr>
      <w:ind w:left="720"/>
      <w:contextualSpacing/>
    </w:pPr>
  </w:style>
  <w:style w:type="character" w:styleId="IntenseEmphasis">
    <w:name w:val="Intense Emphasis"/>
    <w:basedOn w:val="DefaultParagraphFont"/>
    <w:uiPriority w:val="21"/>
    <w:qFormat/>
    <w:rsid w:val="00F1162C"/>
    <w:rPr>
      <w:i/>
      <w:iCs/>
      <w:color w:val="0F4761" w:themeColor="accent1" w:themeShade="BF"/>
    </w:rPr>
  </w:style>
  <w:style w:type="paragraph" w:styleId="IntenseQuote">
    <w:name w:val="Intense Quote"/>
    <w:basedOn w:val="Normal"/>
    <w:next w:val="Normal"/>
    <w:link w:val="IntenseQuoteChar"/>
    <w:uiPriority w:val="30"/>
    <w:qFormat/>
    <w:rsid w:val="00F1162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1162C"/>
    <w:rPr>
      <w:i/>
      <w:iCs/>
      <w:color w:val="0F4761" w:themeColor="accent1" w:themeShade="BF"/>
    </w:rPr>
  </w:style>
  <w:style w:type="character" w:styleId="IntenseReference">
    <w:name w:val="Intense Reference"/>
    <w:basedOn w:val="DefaultParagraphFont"/>
    <w:uiPriority w:val="32"/>
    <w:qFormat/>
    <w:rsid w:val="00F1162C"/>
    <w:rPr>
      <w:b/>
      <w:bCs/>
      <w:smallCaps/>
      <w:color w:val="0F4761" w:themeColor="accent1" w:themeShade="BF"/>
      <w:spacing w:val="5"/>
    </w:rPr>
  </w:style>
  <w:style w:type="paragraph" w:styleId="Header">
    <w:name w:val="header"/>
    <w:basedOn w:val="Normal"/>
    <w:link w:val="HeaderChar"/>
    <w:uiPriority w:val="99"/>
    <w:unhideWhenUsed/>
    <w:rsid w:val="00F1162C"/>
    <w:pPr>
      <w:tabs>
        <w:tab w:val="center" w:pos="4680"/>
        <w:tab w:val="right" w:pos="9360"/>
      </w:tabs>
      <w:spacing w:after="0" w:line="240" w:lineRule="auto"/>
    </w:pPr>
  </w:style>
  <w:style w:type="character" w:customStyle="1" w:styleId="HeaderChar">
    <w:name w:val="Header Char"/>
    <w:basedOn w:val="DefaultParagraphFont"/>
    <w:link w:val="Header"/>
    <w:uiPriority w:val="99"/>
    <w:rsid w:val="00F1162C"/>
  </w:style>
  <w:style w:type="paragraph" w:styleId="Footer">
    <w:name w:val="footer"/>
    <w:basedOn w:val="Normal"/>
    <w:link w:val="FooterChar"/>
    <w:uiPriority w:val="99"/>
    <w:unhideWhenUsed/>
    <w:rsid w:val="00F1162C"/>
    <w:pPr>
      <w:tabs>
        <w:tab w:val="center" w:pos="4680"/>
        <w:tab w:val="right" w:pos="9360"/>
      </w:tabs>
      <w:spacing w:after="0" w:line="240" w:lineRule="auto"/>
    </w:pPr>
  </w:style>
  <w:style w:type="character" w:customStyle="1" w:styleId="FooterChar">
    <w:name w:val="Footer Char"/>
    <w:basedOn w:val="DefaultParagraphFont"/>
    <w:link w:val="Footer"/>
    <w:uiPriority w:val="99"/>
    <w:rsid w:val="00F1162C"/>
  </w:style>
  <w:style w:type="character" w:styleId="Hyperlink">
    <w:name w:val="Hyperlink"/>
    <w:basedOn w:val="DefaultParagraphFont"/>
    <w:uiPriority w:val="99"/>
    <w:unhideWhenUsed/>
    <w:rsid w:val="00B45580"/>
    <w:rPr>
      <w:color w:val="467886" w:themeColor="hyperlink"/>
      <w:u w:val="single"/>
    </w:rPr>
  </w:style>
  <w:style w:type="character" w:styleId="UnresolvedMention">
    <w:name w:val="Unresolved Mention"/>
    <w:basedOn w:val="DefaultParagraphFont"/>
    <w:uiPriority w:val="99"/>
    <w:semiHidden/>
    <w:unhideWhenUsed/>
    <w:rsid w:val="00B4558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customXml" Target="../customXml/item3.xml"/><Relationship Id="rId2" Type="http://schemas.openxmlformats.org/officeDocument/2006/relationships/numbering" Target="numbering.xml"/><Relationship Id="rId16"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hyperlink" Target="https://us06web.zoom.us/meeting/register/BxOHF3S2QDWGTUHYw8K2AA"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D70FDC881EE0ED48AC946FE964C218ED" ma:contentTypeVersion="17" ma:contentTypeDescription="Create a new document." ma:contentTypeScope="" ma:versionID="b6d3579c1c2eb3cd3cb86481ecd858f9">
  <xsd:schema xmlns:xsd="http://www.w3.org/2001/XMLSchema" xmlns:xs="http://www.w3.org/2001/XMLSchema" xmlns:p="http://schemas.microsoft.com/office/2006/metadata/properties" xmlns:ns2="b2e63fcd-ea53-4149-9336-4d16c96eea9c" xmlns:ns3="c150cef9-2e3e-45b6-86de-8c13808cc39d" targetNamespace="http://schemas.microsoft.com/office/2006/metadata/properties" ma:root="true" ma:fieldsID="4d5caf5b192e0c54059e9b4154ae561e" ns2:_="" ns3:_="">
    <xsd:import namespace="b2e63fcd-ea53-4149-9336-4d16c96eea9c"/>
    <xsd:import namespace="c150cef9-2e3e-45b6-86de-8c13808cc39d"/>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GenerationTime" minOccurs="0"/>
                <xsd:element ref="ns2:MediaServiceEventHashCode" minOccurs="0"/>
                <xsd:element ref="ns2:MediaServiceOCR" minOccurs="0"/>
                <xsd:element ref="ns3:SharedWithUsers" minOccurs="0"/>
                <xsd:element ref="ns3:SharedWithDetails" minOccurs="0"/>
                <xsd:element ref="ns2:MediaServiceDateTaken" minOccurs="0"/>
                <xsd:element ref="ns2:MediaLengthInSeconds" minOccurs="0"/>
                <xsd:element ref="ns2:MediaServiceLocation" minOccurs="0"/>
                <xsd:element ref="ns2:MediaServiceObjectDetectorVersions" minOccurs="0"/>
                <xsd:element ref="ns2:MediaServiceSearchProperties" minOccurs="0"/>
                <xsd:element ref="ns2:MediaServiceBillingMetadata" minOccurs="0"/>
                <xsd:element ref="ns2:Not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2e63fcd-ea53-4149-9336-4d16c96eea9c"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d39e25b7-0a97-41c9-a156-d5f306235689" ma:termSetId="09814cd3-568e-fe90-9814-8d621ff8fb84" ma:anchorId="fba54fb3-c3e1-fe81-a776-ca4b69148c4d" ma:open="true" ma:isKeyword="false">
      <xsd:complexType>
        <xsd:sequence>
          <xsd:element ref="pc:Terms" minOccurs="0" maxOccurs="1"/>
        </xsd:sequence>
      </xsd:complex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DateTaken" ma:index="18" nillable="true" ma:displayName="MediaServiceDateTaken" ma:hidden="true" ma:indexed="true" ma:internalName="MediaServiceDateTake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Location" ma:index="20"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element name="MediaServiceBillingMetadata" ma:index="23" nillable="true" ma:displayName="MediaServiceBillingMetadata" ma:hidden="true" ma:internalName="MediaServiceBillingMetadata" ma:readOnly="true">
      <xsd:simpleType>
        <xsd:restriction base="dms:Note"/>
      </xsd:simpleType>
    </xsd:element>
    <xsd:element name="Notes" ma:index="24" nillable="true" ma:displayName="Notes" ma:format="Dropdown" ma:internalName="Notes">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c150cef9-2e3e-45b6-86de-8c13808cc39d"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26545b5c-65dc-43d2-b94a-6805889b9efe}" ma:internalName="TaxCatchAll" ma:showField="CatchAllData" ma:web="c150cef9-2e3e-45b6-86de-8c13808cc39d">
      <xsd:complexType>
        <xsd:complexContent>
          <xsd:extension base="dms:MultiChoiceLookup">
            <xsd:sequence>
              <xsd:element name="Value" type="dms:Lookup" maxOccurs="unbounded" minOccurs="0" nillable="true"/>
            </xsd:sequence>
          </xsd:extension>
        </xsd:complexContent>
      </xsd:complexType>
    </xsd:element>
    <xsd:element name="SharedWithUsers" ma:index="1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b2e63fcd-ea53-4149-9336-4d16c96eea9c">
      <Terms xmlns="http://schemas.microsoft.com/office/infopath/2007/PartnerControls"/>
    </lcf76f155ced4ddcb4097134ff3c332f>
    <TaxCatchAll xmlns="c150cef9-2e3e-45b6-86de-8c13808cc39d" xsi:nil="true"/>
    <Notes xmlns="b2e63fcd-ea53-4149-9336-4d16c96eea9c" xsi:nil="true"/>
  </documentManagement>
</p:properties>
</file>

<file path=customXml/itemProps1.xml><?xml version="1.0" encoding="utf-8"?>
<ds:datastoreItem xmlns:ds="http://schemas.openxmlformats.org/officeDocument/2006/customXml" ds:itemID="{B5DCE3A1-88F0-4A88-8A9A-08AD61EE8B39}">
  <ds:schemaRefs>
    <ds:schemaRef ds:uri="http://schemas.openxmlformats.org/officeDocument/2006/bibliography"/>
  </ds:schemaRefs>
</ds:datastoreItem>
</file>

<file path=customXml/itemProps2.xml><?xml version="1.0" encoding="utf-8"?>
<ds:datastoreItem xmlns:ds="http://schemas.openxmlformats.org/officeDocument/2006/customXml" ds:itemID="{C2405C00-1CC7-4F91-B94C-348A6A93A5AF}"/>
</file>

<file path=customXml/itemProps3.xml><?xml version="1.0" encoding="utf-8"?>
<ds:datastoreItem xmlns:ds="http://schemas.openxmlformats.org/officeDocument/2006/customXml" ds:itemID="{F96E57DB-7FB9-4081-BB5C-F63A1DFBA23C}"/>
</file>

<file path=customXml/itemProps4.xml><?xml version="1.0" encoding="utf-8"?>
<ds:datastoreItem xmlns:ds="http://schemas.openxmlformats.org/officeDocument/2006/customXml" ds:itemID="{3116B330-CB6F-4352-8169-DADA674D7FBF}"/>
</file>

<file path=docProps/app.xml><?xml version="1.0" encoding="utf-8"?>
<Properties xmlns="http://schemas.openxmlformats.org/officeDocument/2006/extended-properties" xmlns:vt="http://schemas.openxmlformats.org/officeDocument/2006/docPropsVTypes">
  <Template>Normal</Template>
  <TotalTime>61</TotalTime>
  <Pages>1</Pages>
  <Words>224</Words>
  <Characters>1278</Characters>
  <Application>Microsoft Office Word</Application>
  <DocSecurity>0</DocSecurity>
  <Lines>10</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Howard, Keith (CCF)</dc:creator>
  <cp:keywords/>
  <dc:description/>
  <cp:lastModifiedBy>Howard, Keith (CCF)</cp:lastModifiedBy>
  <cp:revision>1</cp:revision>
  <dcterms:created xsi:type="dcterms:W3CDTF">2025-12-01T18:18:00Z</dcterms:created>
  <dcterms:modified xsi:type="dcterms:W3CDTF">2025-12-01T19:46:00Z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0x010100D70FDC881EE0ED48AC946FE964C218ED</vt:lpwstr>
  </property>
</Properties>
</file>